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371"/>
        <w:jc w:val="center"/>
      </w:pPr>
      <w:r/>
      <w:r/>
    </w:p>
    <w:p>
      <w:pPr>
        <w:pStyle w:val="371"/>
        <w:jc w:val="center"/>
      </w:pPr>
      <w:r/>
      <w:r/>
    </w:p>
    <w:tbl>
      <w:tblPr>
        <w:tblW w:w="9904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904"/>
      </w:tblGrid>
      <w:tr>
        <w:trPr>
          <w:trHeight w:val="1525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904" w:type="dxa"/>
            <w:vAlign w:val="top"/>
            <w:textDirection w:val="lrTb"/>
            <w:noWrap w:val="false"/>
          </w:tcPr>
          <w:p>
            <w:pPr>
              <w:pStyle w:val="371"/>
            </w:pPr>
            <w:r>
              <mc:AlternateContent>
                <mc:Choice Requires="wpg">
                  <w:drawing>
                    <wp:anchor xmlns:wp="http://schemas.openxmlformats.org/drawingml/2006/wordprocessingDrawing" distT="0" distB="0" distL="114300" distR="114300" simplePos="0" relativeHeight="524288" behindDoc="0" locked="0" layoutInCell="1" allowOverlap="1">
                      <wp:simplePos x="0" y="0"/>
                      <wp:positionH relativeFrom="column">
                        <wp:posOffset>2649855</wp:posOffset>
                      </wp:positionH>
                      <wp:positionV relativeFrom="paragraph">
                        <wp:posOffset>-1269</wp:posOffset>
                      </wp:positionV>
                      <wp:extent cx="713740" cy="953770"/>
                      <wp:effectExtent l="0" t="0" r="0" b="0"/>
                      <wp:wrapSquare wrapText="bothSides"/>
                      <wp:docPr id="1" name="" hidden="false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" hidden="0"/>
                              <pic:cNvPic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13740" cy="953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208.6pt;mso-position-horizontal:absolute;mso-position-vertical-relative:text;margin-top:-0.1pt;mso-position-vertical:absolute;width:56.2pt;height:75.1pt;">
                      <v:path textboxrect="0,0,0,0"/>
                      <v:imagedata r:id="rId8" o:title=""/>
                    </v:shape>
                  </w:pict>
                </mc:Fallback>
              </mc:AlternateContent>
            </w:r>
            <w:r/>
          </w:p>
        </w:tc>
      </w:tr>
      <w:tr>
        <w:trPr>
          <w:trHeight w:val="656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904" w:type="dxa"/>
            <w:vAlign w:val="top"/>
            <w:textDirection w:val="lrTb"/>
            <w:noWrap w:val="false"/>
          </w:tcPr>
          <w:p>
            <w:pPr>
              <w:pStyle w:val="371"/>
              <w:rPr>
                <w:b/>
                <w:sz w:val="28"/>
              </w:rPr>
            </w:pPr>
            <w:r>
              <w:rPr>
                <w:b/>
                <w:sz w:val="28"/>
              </w:rPr>
            </w:r>
            <w:r/>
          </w:p>
          <w:p>
            <w:pPr>
              <w:pStyle w:val="371"/>
              <w:jc w:val="center"/>
            </w:pPr>
            <w:r>
              <w:rPr>
                <w:b/>
                <w:sz w:val="28"/>
              </w:rPr>
              <w:t xml:space="preserve">КОМИТЕТ ПО ДЕЛАМ АРХИВОВ ПЕНЗЕНСКОЙ ОБЛАСТИ</w:t>
            </w:r>
            <w:r/>
          </w:p>
        </w:tc>
      </w:tr>
      <w:tr>
        <w:trPr>
          <w:trHeight w:val="229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904" w:type="dxa"/>
            <w:vAlign w:val="top"/>
            <w:textDirection w:val="lrTb"/>
            <w:noWrap w:val="false"/>
          </w:tcPr>
          <w:p>
            <w:pPr>
              <w:pStyle w:val="371"/>
            </w:pPr>
            <w:r/>
            <w:r/>
          </w:p>
        </w:tc>
      </w:tr>
      <w:tr>
        <w:trPr>
          <w:trHeight w:val="839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904" w:type="dxa"/>
            <w:vAlign w:val="top"/>
            <w:textDirection w:val="lrTb"/>
            <w:noWrap w:val="false"/>
          </w:tcPr>
          <w:p>
            <w:pPr>
              <w:pStyle w:val="371"/>
              <w:jc w:val="center"/>
              <w:spacing w:after="360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П Р И К А З</w:t>
            </w:r>
            <w:r/>
          </w:p>
        </w:tc>
      </w:tr>
      <w:tr>
        <w:trPr>
          <w:trHeight w:val="473"/>
        </w:trPr>
        <w:tc>
          <w:tcPr>
            <w:tcBorders>
              <w:left w:val="none" w:color="000000" w:sz="0" w:space="0"/>
              <w:top w:val="none" w:color="000000" w:sz="0" w:space="0"/>
              <w:right w:val="none" w:color="000000" w:sz="0" w:space="0"/>
              <w:bottom w:val="none" w:color="000000" w:sz="0" w:space="0"/>
            </w:tcBorders>
            <w:tcW w:w="9904" w:type="dxa"/>
            <w:vAlign w:val="top"/>
            <w:textDirection w:val="lrTb"/>
            <w:noWrap w:val="false"/>
          </w:tcPr>
          <w:p>
            <w:pPr>
              <w:pStyle w:val="371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  <w:u w:val="single"/>
              </w:rPr>
              <w:t xml:space="preserve">«</w:t>
            </w:r>
            <w:r>
              <w:rPr>
                <w:sz w:val="26"/>
                <w:szCs w:val="26"/>
                <w:u w:val="single"/>
              </w:rPr>
              <w:t xml:space="preserve">31</w:t>
            </w:r>
            <w:r>
              <w:rPr>
                <w:sz w:val="26"/>
                <w:szCs w:val="26"/>
                <w:u w:val="single"/>
              </w:rPr>
              <w:t xml:space="preserve"> »  </w:t>
            </w:r>
            <w:r>
              <w:rPr>
                <w:sz w:val="26"/>
                <w:szCs w:val="26"/>
                <w:u w:val="single"/>
              </w:rPr>
              <w:t xml:space="preserve">октября</w:t>
            </w:r>
            <w:r>
              <w:rPr>
                <w:sz w:val="26"/>
                <w:szCs w:val="26"/>
                <w:u w:val="single"/>
              </w:rPr>
              <w:t xml:space="preserve">  2018 года</w:t>
            </w:r>
            <w:r>
              <w:rPr>
                <w:sz w:val="26"/>
                <w:szCs w:val="26"/>
              </w:rPr>
              <w:t xml:space="preserve">  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46-од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/>
          </w:p>
          <w:p>
            <w:pPr>
              <w:pStyle w:val="37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  <w:p>
            <w:pPr>
              <w:pStyle w:val="37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Пенза</w:t>
            </w:r>
            <w:r/>
          </w:p>
        </w:tc>
      </w:tr>
    </w:tbl>
    <w:p>
      <w:pPr>
        <w:pStyle w:val="37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371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</w:t>
      </w:r>
      <w:r>
        <w:rPr>
          <w:b/>
          <w:bCs/>
          <w:sz w:val="28"/>
          <w:szCs w:val="28"/>
        </w:rPr>
        <w:t xml:space="preserve">О внесении изменения в </w:t>
      </w: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HYPERLINK \l Par38  </w:instrText>
      </w:r>
      <w:r>
        <w:rPr>
          <w:b/>
          <w:sz w:val="28"/>
          <w:szCs w:val="28"/>
        </w:rPr>
        <w:fldChar w:fldCharType="separate"/>
      </w:r>
      <w:r>
        <w:rPr>
          <w:b/>
          <w:sz w:val="28"/>
          <w:szCs w:val="28"/>
        </w:rPr>
        <w:t xml:space="preserve">Порядок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</w:r>
      <w:r/>
    </w:p>
    <w:p>
      <w:pPr>
        <w:pStyle w:val="37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выдачи разрешения представителя нанимателя на участие государственных гражданских с</w:t>
      </w:r>
      <w:r>
        <w:rPr>
          <w:b/>
          <w:sz w:val="28"/>
          <w:szCs w:val="28"/>
        </w:rPr>
        <w:t xml:space="preserve">лужащих Пензенской области, замещающих должности государственной гражданской службы Пензенской области в Комитете по делам архивов Пензенской области, на безвозмездной основе в управлении общественной организацией (кроме политической партии), жилищным, жил</w:t>
      </w:r>
      <w:r>
        <w:rPr>
          <w:b/>
          <w:sz w:val="28"/>
          <w:szCs w:val="28"/>
        </w:rPr>
        <w:t xml:space="preserve">ищно-строительным, гаражным кооперативом, садоводческим, огородническим, дачным потребительским кооперативом, товариществом собственников недвижимости в качестве единоличного исполнительного органа или вхождения в состав их коллегиальных органов управления</w:t>
      </w:r>
      <w:r/>
    </w:p>
    <w:p>
      <w:pPr>
        <w:pStyle w:val="371"/>
        <w:jc w:val="center"/>
        <w:rPr>
          <w:b/>
          <w:sz w:val="28"/>
          <w:szCs w:val="28"/>
        </w:rPr>
      </w:pPr>
      <w:r>
        <w:rPr>
          <w:sz w:val="28"/>
          <w:szCs w:val="28"/>
          <w:lang w:eastAsia="ru-RU"/>
        </w:rPr>
        <w:t xml:space="preserve">, </w:t>
      </w:r>
      <w:r>
        <w:rPr>
          <w:b/>
          <w:sz w:val="28"/>
          <w:szCs w:val="28"/>
          <w:lang w:eastAsia="ru-RU"/>
        </w:rPr>
        <w:t xml:space="preserve">утвержденного приказом Комитета по делам архивов Пензенской области </w:t>
      </w:r>
      <w:r>
        <w:rPr>
          <w:b/>
          <w:sz w:val="28"/>
          <w:szCs w:val="28"/>
        </w:rPr>
        <w:t xml:space="preserve">от 19.10.2017 №65</w:t>
      </w:r>
      <w:r>
        <w:rPr>
          <w:b/>
          <w:sz w:val="28"/>
          <w:szCs w:val="28"/>
        </w:rPr>
        <w:t xml:space="preserve">-од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/>
    </w:p>
    <w:p>
      <w:pPr>
        <w:pStyle w:val="371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  <w:r/>
    </w:p>
    <w:p>
      <w:pPr>
        <w:pStyle w:val="371"/>
        <w:ind w:firstLine="709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zh-CN"/>
        </w:rPr>
        <w:t xml:space="preserve">В  целях приведения нормативного правового акта в соответствие с действующим законодательством, руководствуясь</w:t>
      </w:r>
      <w:r>
        <w:rPr>
          <w:sz w:val="28"/>
          <w:szCs w:val="28"/>
        </w:rPr>
        <w:t xml:space="preserve"> Положением о Комитете по делам архивов Пензенской области,  утвержденным  постановлением  Правительства  Пензенской  области от 03.02.2017 № 48-пП «Об утверждении Положения о Комитете по делам архивов Пензенской области», </w:t>
      </w:r>
      <w:r>
        <w:rPr>
          <w:b/>
          <w:sz w:val="28"/>
          <w:szCs w:val="28"/>
        </w:rPr>
        <w:t xml:space="preserve">п р и к а з ы в а ю:</w:t>
      </w:r>
      <w:r>
        <w:rPr>
          <w:sz w:val="28"/>
          <w:szCs w:val="28"/>
        </w:rPr>
        <w:t xml:space="preserve"> </w:t>
      </w:r>
      <w:r/>
    </w:p>
    <w:p>
      <w:pPr>
        <w:pStyle w:val="371"/>
        <w:jc w:val="both"/>
        <w:rPr>
          <w:sz w:val="28"/>
          <w:szCs w:val="28"/>
        </w:rPr>
      </w:pPr>
      <w:r>
        <w:rPr>
          <w:rFonts w:eastAsia="SimSun"/>
          <w:sz w:val="28"/>
          <w:szCs w:val="28"/>
        </w:rPr>
        <w:t xml:space="preserve">         1. Внести в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HYPERLINK \l Par38  </w:instrText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 xml:space="preserve">Порядок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выдачи разрешения представителя нанимателя на участие государственных гражданских служащих Пензенской области, замещающих должности государственной гражданской службы Пензенской области в Комитете по делам архивов </w:t>
      </w:r>
      <w:r>
        <w:rPr>
          <w:sz w:val="28"/>
          <w:szCs w:val="28"/>
        </w:rPr>
        <w:t xml:space="preserve">Пензенской области, на безвозмездной основе в управлении общественной организацией</w:t>
      </w:r>
      <w:r>
        <w:rPr>
          <w:sz w:val="28"/>
          <w:szCs w:val="28"/>
          <w:highlight w:val="white"/>
        </w:rPr>
        <w:t xml:space="preserve"> (</w:t>
      </w:r>
      <w:r>
        <w:rPr>
          <w:sz w:val="28"/>
          <w:szCs w:val="28"/>
          <w:highlight w:val="white"/>
        </w:rPr>
        <w:t xml:space="preserve">кроме политической партии),</w:t>
      </w:r>
      <w:r>
        <w:rPr>
          <w:sz w:val="28"/>
          <w:szCs w:val="28"/>
          <w:highlight w:val="white"/>
        </w:rPr>
        <w:t xml:space="preserve"> жилищным, ж</w:t>
      </w:r>
      <w:r>
        <w:rPr>
          <w:sz w:val="28"/>
          <w:szCs w:val="28"/>
        </w:rPr>
        <w:t xml:space="preserve">илищно-строительным</w:t>
      </w:r>
      <w:r>
        <w:rPr>
          <w:sz w:val="28"/>
          <w:szCs w:val="28"/>
        </w:rPr>
        <w:t xml:space="preserve">, гаражным кооперативом, садоводческим, огородническим, дачным потребительским кооперативом, товариществом собственников недвижимости в качестве единоличного исполнительного органа или вхождения в состав их коллегиальных органов управления (далее- Порядок)</w:t>
      </w:r>
      <w:r>
        <w:rPr>
          <w:sz w:val="28"/>
          <w:szCs w:val="28"/>
          <w:lang w:eastAsia="ru-RU"/>
        </w:rPr>
        <w:t xml:space="preserve">, утвержденного приказом Комитета по делам архивов Пензенской области </w:t>
      </w:r>
      <w:r>
        <w:rPr>
          <w:sz w:val="28"/>
          <w:szCs w:val="28"/>
        </w:rPr>
        <w:t xml:space="preserve">от 19.10.2017 №65-од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следующее изменение:</w:t>
      </w:r>
      <w:r/>
    </w:p>
    <w:p>
      <w:pPr>
        <w:pStyle w:val="37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В пункте 1 Порядка слова «случаев, предусмотренных федеральными законами, и случаев, если участие в управлении организацией осуществляется в соотв</w:t>
      </w:r>
      <w:r>
        <w:rPr>
          <w:sz w:val="28"/>
          <w:szCs w:val="28"/>
        </w:rPr>
        <w:t xml:space="preserve">етствии с законодательством Российской Федерации от имени государственного органа» заменить словами «случаев, предусмотренных пунктом 3 части 1 статьи 17 Федерального закона от 27.07.2004 №79-ФЗ «О государственной гражданской службе Российской Федерации»».</w:t>
      </w:r>
      <w:r/>
    </w:p>
    <w:p>
      <w:pPr>
        <w:pStyle w:val="37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Настоящий приказ вступает в силу со дня его официального опубликования.</w:t>
      </w:r>
      <w:r>
        <w:rPr>
          <w:b/>
          <w:sz w:val="28"/>
          <w:szCs w:val="28"/>
        </w:rPr>
      </w:r>
      <w:r/>
    </w:p>
    <w:p>
      <w:pPr>
        <w:pStyle w:val="371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Настоящий приказ разместить (опубликовать) на «Официальном интернет-портале правовой информации» (</w:t>
      </w:r>
      <w:r>
        <w:rPr>
          <w:sz w:val="28"/>
          <w:szCs w:val="28"/>
          <w:lang w:val="en-US"/>
        </w:rPr>
        <w:fldChar w:fldCharType="begin"/>
      </w:r>
      <w:r>
        <w:rPr>
          <w:sz w:val="28"/>
          <w:szCs w:val="28"/>
        </w:rPr>
        <w:instrText xml:space="preserve"> </w:instrText>
      </w:r>
      <w:r>
        <w:rPr>
          <w:sz w:val="28"/>
          <w:szCs w:val="28"/>
          <w:lang w:val="en-US"/>
        </w:rPr>
        <w:instrText xml:space="preserve">HYPERLINK</w:instrText>
      </w:r>
      <w:r>
        <w:rPr>
          <w:sz w:val="28"/>
          <w:szCs w:val="28"/>
        </w:rPr>
        <w:instrText xml:space="preserve"> "</w:instrText>
      </w:r>
      <w:r>
        <w:rPr>
          <w:sz w:val="28"/>
          <w:szCs w:val="28"/>
          <w:lang w:val="en-US"/>
        </w:rPr>
        <w:instrText xml:space="preserve">http</w:instrText>
      </w:r>
      <w:r>
        <w:rPr>
          <w:sz w:val="28"/>
          <w:szCs w:val="28"/>
        </w:rPr>
        <w:instrText xml:space="preserve">://</w:instrText>
      </w:r>
      <w:r>
        <w:rPr>
          <w:sz w:val="28"/>
          <w:szCs w:val="28"/>
          <w:lang w:val="en-US"/>
        </w:rPr>
        <w:instrText xml:space="preserve">www</w:instrText>
      </w:r>
      <w:r>
        <w:rPr>
          <w:sz w:val="28"/>
          <w:szCs w:val="28"/>
        </w:rPr>
        <w:instrText xml:space="preserve">.</w:instrText>
      </w:r>
      <w:r>
        <w:rPr>
          <w:sz w:val="28"/>
          <w:szCs w:val="28"/>
          <w:lang w:val="en-US"/>
        </w:rPr>
        <w:instrText xml:space="preserve">pravo</w:instrText>
      </w:r>
      <w:r>
        <w:rPr>
          <w:sz w:val="28"/>
          <w:szCs w:val="28"/>
        </w:rPr>
        <w:instrText xml:space="preserve">.</w:instrText>
      </w:r>
      <w:r>
        <w:rPr>
          <w:sz w:val="28"/>
          <w:szCs w:val="28"/>
          <w:lang w:val="en-US"/>
        </w:rPr>
        <w:instrText xml:space="preserve">gov</w:instrText>
      </w:r>
      <w:r>
        <w:rPr>
          <w:sz w:val="28"/>
          <w:szCs w:val="28"/>
        </w:rPr>
        <w:instrText xml:space="preserve">.</w:instrText>
      </w:r>
      <w:r>
        <w:rPr>
          <w:sz w:val="28"/>
          <w:szCs w:val="28"/>
          <w:lang w:val="en-US"/>
        </w:rPr>
        <w:instrText xml:space="preserve">ru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  <w:lang w:val="en-US"/>
        </w:rPr>
        <w:fldChar w:fldCharType="separate"/>
      </w:r>
      <w:r>
        <w:rPr>
          <w:rStyle w:val="377"/>
          <w:sz w:val="28"/>
          <w:szCs w:val="28"/>
          <w:lang w:val="en-US"/>
        </w:rPr>
        <w:t xml:space="preserve">www</w:t>
      </w:r>
      <w:r>
        <w:rPr>
          <w:rStyle w:val="377"/>
          <w:sz w:val="28"/>
          <w:szCs w:val="28"/>
        </w:rPr>
        <w:t xml:space="preserve">.</w:t>
      </w:r>
      <w:r>
        <w:rPr>
          <w:rStyle w:val="377"/>
          <w:sz w:val="28"/>
          <w:szCs w:val="28"/>
          <w:lang w:val="en-US"/>
        </w:rPr>
        <w:t xml:space="preserve">pravo</w:t>
      </w:r>
      <w:r>
        <w:rPr>
          <w:rStyle w:val="377"/>
          <w:sz w:val="28"/>
          <w:szCs w:val="28"/>
        </w:rPr>
        <w:t xml:space="preserve">.</w:t>
      </w:r>
      <w:r>
        <w:rPr>
          <w:rStyle w:val="377"/>
          <w:sz w:val="28"/>
          <w:szCs w:val="28"/>
          <w:lang w:val="en-US"/>
        </w:rPr>
        <w:t xml:space="preserve">gov</w:t>
      </w:r>
      <w:r>
        <w:rPr>
          <w:rStyle w:val="377"/>
          <w:sz w:val="28"/>
          <w:szCs w:val="28"/>
        </w:rPr>
        <w:t xml:space="preserve">.</w:t>
      </w:r>
      <w:r>
        <w:rPr>
          <w:rStyle w:val="377"/>
          <w:sz w:val="28"/>
          <w:szCs w:val="28"/>
          <w:lang w:val="en-US"/>
        </w:rPr>
        <w:t xml:space="preserve">ru</w:t>
      </w:r>
      <w:r>
        <w:rPr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 xml:space="preserve">) и на официальном сайте Комитета по делам архивов Пензенской области в информационно-телекоммуникационной сети «Интернет».</w:t>
      </w:r>
      <w:r/>
    </w:p>
    <w:p>
      <w:pPr>
        <w:pStyle w:val="371"/>
        <w:jc w:val="both"/>
        <w:tabs>
          <w:tab w:val="left" w:pos="720" w:leader="none"/>
        </w:tabs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 xml:space="preserve">         4. Контроль за исполнением настоящего приказа оставляю за собой</w:t>
      </w:r>
      <w:r>
        <w:rPr>
          <w:sz w:val="28"/>
          <w:szCs w:val="28"/>
          <w:lang w:eastAsia="ru-RU"/>
        </w:rPr>
        <w:t xml:space="preserve">.</w:t>
      </w:r>
      <w:r>
        <w:rPr>
          <w:spacing w:val="2"/>
          <w:sz w:val="28"/>
          <w:szCs w:val="28"/>
          <w:lang w:eastAsia="ru-RU"/>
        </w:rPr>
        <w:t xml:space="preserve"> </w:t>
      </w:r>
      <w:r/>
    </w:p>
    <w:p>
      <w:pPr>
        <w:pStyle w:val="371"/>
        <w:ind w:firstLine="720"/>
        <w:jc w:val="both"/>
        <w:tabs>
          <w:tab w:val="left" w:pos="540" w:leader="none"/>
        </w:tabs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</w:r>
      <w:r/>
    </w:p>
    <w:p>
      <w:pPr>
        <w:pStyle w:val="371"/>
        <w:ind w:firstLine="720"/>
        <w:jc w:val="both"/>
        <w:tabs>
          <w:tab w:val="left" w:pos="540" w:leader="none"/>
        </w:tabs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</w:r>
      <w:r/>
    </w:p>
    <w:p>
      <w:pPr>
        <w:pStyle w:val="371"/>
        <w:ind w:firstLine="720"/>
        <w:jc w:val="both"/>
        <w:tabs>
          <w:tab w:val="left" w:pos="540" w:leader="none"/>
        </w:tabs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</w:r>
      <w:r/>
    </w:p>
    <w:p>
      <w:pPr>
        <w:pStyle w:val="371"/>
        <w:jc w:val="both"/>
        <w:tabs>
          <w:tab w:val="left" w:pos="540" w:leader="none"/>
        </w:tabs>
        <w:rPr>
          <w:spacing w:val="2"/>
          <w:sz w:val="28"/>
          <w:szCs w:val="28"/>
          <w:lang w:eastAsia="ru-RU"/>
        </w:rPr>
      </w:pPr>
      <w:r>
        <w:rPr>
          <w:rFonts w:eastAsia="SimSun"/>
          <w:spacing w:val="2"/>
          <w:sz w:val="28"/>
          <w:szCs w:val="28"/>
          <w:lang w:eastAsia="zh-CN"/>
        </w:rPr>
        <w:t xml:space="preserve">Председатель Комитета                                                            З.Х.Бибарсов</w:t>
      </w:r>
      <w:r>
        <w:rPr>
          <w:spacing w:val="2"/>
          <w:sz w:val="28"/>
          <w:szCs w:val="28"/>
          <w:lang w:eastAsia="ru-RU"/>
        </w:rPr>
      </w:r>
      <w:r/>
    </w:p>
    <w:p>
      <w:pPr>
        <w:pStyle w:val="371"/>
      </w:pPr>
      <w:r/>
      <w:r/>
    </w:p>
    <w:p>
      <w:pPr>
        <w:pStyle w:val="371"/>
      </w:pPr>
      <w:r/>
      <w:r/>
    </w:p>
    <w:p>
      <w:pPr>
        <w:pStyle w:val="371"/>
      </w:pPr>
      <w:r/>
      <w:r/>
    </w:p>
    <w:p>
      <w:pPr>
        <w:pStyle w:val="371"/>
      </w:pPr>
      <w:r/>
      <w:r/>
    </w:p>
    <w:p>
      <w:pPr>
        <w:pStyle w:val="371"/>
      </w:pPr>
      <w:r/>
      <w:r/>
    </w:p>
    <w:p>
      <w:pPr>
        <w:pStyle w:val="371"/>
      </w:pPr>
      <w:r/>
      <w:r/>
    </w:p>
    <w:sectPr>
      <w:headerReference w:type="default" r:id="rId7"/>
      <w:footnotePr/>
      <w:type w:val="nextPage"/>
      <w:pgSz w:w="11906" w:h="16838" w:orient="portrait"/>
      <w:pgMar w:top="1134" w:right="850" w:bottom="851" w:left="1701" w:header="708" w:footer="708" w:gutter="0"/>
      <w:cols w:num="1" w:sep="0" w:space="708" w:equalWidth="1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375"/>
      <w:jc w:val="center"/>
    </w:pPr>
    <w:r/>
    <w:r/>
  </w:p>
  <w:p>
    <w:pPr>
      <w:pStyle w:val="375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SimSun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8"/>
    <w:next w:val="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8"/>
    <w:next w:val="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8"/>
    <w:next w:val="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8"/>
    <w:next w:val="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8"/>
    <w:next w:val="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8"/>
    <w:next w:val="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8"/>
    <w:next w:val="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8"/>
    <w:next w:val="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8"/>
    <w:next w:val="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8"/>
    <w:next w:val="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8"/>
    <w:next w:val="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8"/>
    <w:next w:val="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8"/>
    <w:next w:val="8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8"/>
    <w:next w:val="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toc 1"/>
    <w:basedOn w:val="8"/>
    <w:next w:val="8"/>
    <w:uiPriority w:val="39"/>
    <w:unhideWhenUsed/>
    <w:pPr>
      <w:ind w:left="0" w:right="0" w:firstLine="0"/>
      <w:spacing w:after="57"/>
    </w:pPr>
  </w:style>
  <w:style w:type="paragraph" w:styleId="177">
    <w:name w:val="toc 2"/>
    <w:basedOn w:val="8"/>
    <w:next w:val="8"/>
    <w:uiPriority w:val="39"/>
    <w:unhideWhenUsed/>
    <w:pPr>
      <w:ind w:left="283" w:right="0" w:firstLine="0"/>
      <w:spacing w:after="57"/>
    </w:pPr>
  </w:style>
  <w:style w:type="paragraph" w:styleId="178">
    <w:name w:val="toc 3"/>
    <w:basedOn w:val="8"/>
    <w:next w:val="8"/>
    <w:uiPriority w:val="39"/>
    <w:unhideWhenUsed/>
    <w:pPr>
      <w:ind w:left="567" w:right="0" w:firstLine="0"/>
      <w:spacing w:after="57"/>
    </w:pPr>
  </w:style>
  <w:style w:type="paragraph" w:styleId="179">
    <w:name w:val="toc 4"/>
    <w:basedOn w:val="8"/>
    <w:next w:val="8"/>
    <w:uiPriority w:val="39"/>
    <w:unhideWhenUsed/>
    <w:pPr>
      <w:ind w:left="850" w:right="0" w:firstLine="0"/>
      <w:spacing w:after="57"/>
    </w:pPr>
  </w:style>
  <w:style w:type="paragraph" w:styleId="180">
    <w:name w:val="toc 5"/>
    <w:basedOn w:val="8"/>
    <w:next w:val="8"/>
    <w:uiPriority w:val="39"/>
    <w:unhideWhenUsed/>
    <w:pPr>
      <w:ind w:left="1134" w:right="0" w:firstLine="0"/>
      <w:spacing w:after="57"/>
    </w:pPr>
  </w:style>
  <w:style w:type="paragraph" w:styleId="181">
    <w:name w:val="toc 6"/>
    <w:basedOn w:val="8"/>
    <w:next w:val="8"/>
    <w:uiPriority w:val="39"/>
    <w:unhideWhenUsed/>
    <w:pPr>
      <w:ind w:left="1417" w:right="0" w:firstLine="0"/>
      <w:spacing w:after="57"/>
    </w:pPr>
  </w:style>
  <w:style w:type="paragraph" w:styleId="182">
    <w:name w:val="toc 7"/>
    <w:basedOn w:val="8"/>
    <w:next w:val="8"/>
    <w:uiPriority w:val="39"/>
    <w:unhideWhenUsed/>
    <w:pPr>
      <w:ind w:left="1701" w:right="0" w:firstLine="0"/>
      <w:spacing w:after="57"/>
    </w:pPr>
  </w:style>
  <w:style w:type="paragraph" w:styleId="183">
    <w:name w:val="toc 8"/>
    <w:basedOn w:val="8"/>
    <w:next w:val="8"/>
    <w:uiPriority w:val="39"/>
    <w:unhideWhenUsed/>
    <w:pPr>
      <w:ind w:left="1984" w:right="0" w:firstLine="0"/>
      <w:spacing w:after="57"/>
    </w:pPr>
  </w:style>
  <w:style w:type="paragraph" w:styleId="184">
    <w:name w:val="toc 9"/>
    <w:basedOn w:val="8"/>
    <w:next w:val="8"/>
    <w:uiPriority w:val="39"/>
    <w:unhideWhenUsed/>
    <w:pPr>
      <w:ind w:left="2268" w:right="0" w:firstLine="0"/>
      <w:spacing w:after="57"/>
    </w:pPr>
  </w:style>
  <w:style w:type="paragraph" w:styleId="185">
    <w:name w:val="TOC Heading"/>
    <w:uiPriority w:val="39"/>
    <w:unhideWhenUsed/>
  </w:style>
  <w:style w:type="paragraph" w:styleId="371">
    <w:name w:val="Обычный"/>
    <w:next w:val="371"/>
    <w:link w:val="371"/>
    <w:rPr>
      <w:rFonts w:eastAsia="Times New Roman"/>
      <w:sz w:val="24"/>
      <w:szCs w:val="24"/>
      <w:lang w:val="ru-RU" w:bidi="ar-SA" w:eastAsia="en-US"/>
    </w:rPr>
  </w:style>
  <w:style w:type="character" w:styleId="372">
    <w:name w:val="Основной шрифт абзаца"/>
    <w:next w:val="372"/>
    <w:link w:val="371"/>
    <w:semiHidden/>
  </w:style>
  <w:style w:type="table" w:styleId="373">
    <w:name w:val="Обычная таблица"/>
    <w:next w:val="373"/>
    <w:link w:val="371"/>
    <w:semiHidden/>
    <w:tblPr/>
  </w:style>
  <w:style w:type="numbering" w:styleId="374">
    <w:name w:val="Нет списка"/>
    <w:next w:val="374"/>
    <w:link w:val="371"/>
    <w:semiHidden/>
  </w:style>
  <w:style w:type="paragraph" w:styleId="375">
    <w:name w:val="Верхний колонтитул"/>
    <w:basedOn w:val="371"/>
    <w:next w:val="375"/>
    <w:link w:val="376"/>
    <w:pPr>
      <w:tabs>
        <w:tab w:val="center" w:pos="4677" w:leader="none"/>
        <w:tab w:val="right" w:pos="9355" w:leader="none"/>
      </w:tabs>
    </w:pPr>
  </w:style>
  <w:style w:type="character" w:styleId="376">
    <w:name w:val=" Знак"/>
    <w:next w:val="376"/>
    <w:link w:val="375"/>
    <w:rPr>
      <w:sz w:val="24"/>
      <w:szCs w:val="24"/>
      <w:lang w:val="ru-RU" w:bidi="ar-SA" w:eastAsia="en-US"/>
    </w:rPr>
  </w:style>
  <w:style w:type="character" w:styleId="377">
    <w:name w:val="Гиперссылка"/>
    <w:next w:val="377"/>
    <w:link w:val="371"/>
    <w:rPr>
      <w:color w:val="0000FF"/>
      <w:u w:val="single"/>
    </w:rPr>
  </w:style>
  <w:style w:type="character" w:styleId="637" w:default="1">
    <w:name w:val="Default Paragraph Font"/>
    <w:uiPriority w:val="1"/>
    <w:semiHidden/>
    <w:unhideWhenUsed/>
  </w:style>
  <w:style w:type="numbering" w:styleId="638" w:default="1">
    <w:name w:val="No List"/>
    <w:uiPriority w:val="99"/>
    <w:semiHidden/>
    <w:unhideWhenUsed/>
  </w:style>
  <w:style w:type="paragraph" w:styleId="639" w:default="1">
    <w:name w:val="Normal"/>
    <w:qFormat/>
  </w:style>
  <w:style w:type="table" w:styleId="64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header" Target="header1.xml" /><Relationship Id="rId8" Type="http://schemas.openxmlformats.org/officeDocument/2006/relationships/image" Target="media/image1.jp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Р7-Офис/5.5.4.20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2021-03-23T06:34:25Z</dcterms:modified>
</cp:coreProperties>
</file>