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371"/>
        <w:jc w:val="center"/>
      </w:pPr>
      <w:r/>
      <w:r/>
    </w:p>
    <w:p>
      <w:pPr>
        <w:pStyle w:val="371"/>
        <w:jc w:val="center"/>
      </w:pPr>
      <w:r/>
      <w:r/>
    </w:p>
    <w:tbl>
      <w:tblPr>
        <w:tblW w:w="9904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904"/>
      </w:tblGrid>
      <w:tr>
        <w:trPr>
          <w:trHeight w:val="1525"/>
        </w:trPr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9904" w:type="dxa"/>
            <w:vAlign w:val="top"/>
            <w:textDirection w:val="lrTb"/>
            <w:noWrap w:val="false"/>
          </w:tcPr>
          <w:p>
            <w:pPr>
              <w:pStyle w:val="371"/>
            </w:pPr>
            <w:r>
              <mc:AlternateContent>
                <mc:Choice Requires="wpg">
                  <w:drawing>
                    <wp:anchor xmlns:wp="http://schemas.openxmlformats.org/drawingml/2006/wordprocessingDrawing" distT="0" distB="0" distL="114300" distR="114300" simplePos="0" relativeHeight="524288" behindDoc="0" locked="0" layoutInCell="1" allowOverlap="1">
                      <wp:simplePos x="0" y="0"/>
                      <wp:positionH relativeFrom="column">
                        <wp:posOffset>2649855</wp:posOffset>
                      </wp:positionH>
                      <wp:positionV relativeFrom="paragraph">
                        <wp:posOffset>-1269</wp:posOffset>
                      </wp:positionV>
                      <wp:extent cx="713740" cy="953770"/>
                      <wp:effectExtent l="0" t="0" r="0" b="0"/>
                      <wp:wrapSquare wrapText="bothSides"/>
                      <wp:docPr id="1" name="" hidden="false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" name="" hidden="0"/>
                              <pic:cNvPicPr/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13740" cy="9537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mso-wrap-distance-left:9.0pt;mso-wrap-distance-top:0.0pt;mso-wrap-distance-right:9.0pt;mso-wrap-distance-bottom:0.0pt;z-index:524288;o:allowoverlap:true;o:allowincell:true;mso-position-horizontal-relative:text;margin-left:208.6pt;mso-position-horizontal:absolute;mso-position-vertical-relative:text;margin-top:-0.1pt;mso-position-vertical:absolute;width:56.2pt;height:75.1pt;">
                      <v:path textboxrect="0,0,0,0"/>
                      <v:imagedata r:id="rId8" o:title=""/>
                    </v:shape>
                  </w:pict>
                </mc:Fallback>
              </mc:AlternateContent>
            </w:r>
            <w:r/>
          </w:p>
        </w:tc>
      </w:tr>
      <w:tr>
        <w:trPr>
          <w:trHeight w:val="656"/>
        </w:trPr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9904" w:type="dxa"/>
            <w:vAlign w:val="top"/>
            <w:textDirection w:val="lrTb"/>
            <w:noWrap w:val="false"/>
          </w:tcPr>
          <w:p>
            <w:pPr>
              <w:pStyle w:val="371"/>
              <w:rPr>
                <w:b/>
                <w:sz w:val="28"/>
              </w:rPr>
            </w:pPr>
            <w:r>
              <w:rPr>
                <w:b/>
                <w:sz w:val="28"/>
              </w:rPr>
            </w:r>
            <w:r/>
          </w:p>
          <w:p>
            <w:pPr>
              <w:pStyle w:val="371"/>
              <w:jc w:val="center"/>
            </w:pPr>
            <w:r>
              <w:rPr>
                <w:b/>
                <w:sz w:val="28"/>
              </w:rPr>
              <w:t xml:space="preserve">КОМИТЕТ ПО ДЕЛАМ АРХИВОВ ПЕНЗЕНСКОЙ ОБЛАСТИ</w:t>
            </w:r>
            <w:r/>
          </w:p>
        </w:tc>
      </w:tr>
      <w:tr>
        <w:trPr>
          <w:trHeight w:val="229"/>
        </w:trPr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9904" w:type="dxa"/>
            <w:vAlign w:val="top"/>
            <w:textDirection w:val="lrTb"/>
            <w:noWrap w:val="false"/>
          </w:tcPr>
          <w:p>
            <w:pPr>
              <w:pStyle w:val="371"/>
            </w:pPr>
            <w:r/>
            <w:r/>
          </w:p>
        </w:tc>
      </w:tr>
      <w:tr>
        <w:trPr>
          <w:trHeight w:val="839"/>
        </w:trPr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9904" w:type="dxa"/>
            <w:vAlign w:val="top"/>
            <w:textDirection w:val="lrTb"/>
            <w:noWrap w:val="false"/>
          </w:tcPr>
          <w:p>
            <w:pPr>
              <w:pStyle w:val="371"/>
              <w:jc w:val="center"/>
              <w:spacing w:after="36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П Р И К А З</w:t>
            </w:r>
            <w:r/>
          </w:p>
        </w:tc>
      </w:tr>
      <w:tr>
        <w:trPr>
          <w:trHeight w:val="473"/>
        </w:trPr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9904" w:type="dxa"/>
            <w:vAlign w:val="top"/>
            <w:textDirection w:val="lrTb"/>
            <w:noWrap w:val="false"/>
          </w:tcPr>
          <w:p>
            <w:pPr>
              <w:pStyle w:val="371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от </w:t>
            </w:r>
            <w:r>
              <w:rPr>
                <w:sz w:val="26"/>
                <w:szCs w:val="26"/>
                <w:u w:val="single"/>
              </w:rPr>
              <w:t xml:space="preserve">«28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 xml:space="preserve">»ноября</w:t>
            </w:r>
            <w:r>
              <w:rPr>
                <w:sz w:val="26"/>
                <w:szCs w:val="26"/>
                <w:u w:val="single"/>
              </w:rPr>
              <w:t xml:space="preserve">  201</w:t>
            </w:r>
            <w:r>
              <w:rPr>
                <w:sz w:val="26"/>
                <w:szCs w:val="26"/>
                <w:u w:val="single"/>
              </w:rPr>
              <w:t xml:space="preserve">8</w:t>
            </w:r>
            <w:r>
              <w:rPr>
                <w:sz w:val="26"/>
                <w:szCs w:val="26"/>
                <w:u w:val="single"/>
              </w:rPr>
              <w:t xml:space="preserve"> года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№</w:t>
            </w:r>
            <w:r>
              <w:rPr>
                <w:sz w:val="26"/>
                <w:szCs w:val="26"/>
                <w:u w:val="single"/>
              </w:rPr>
              <w:t xml:space="preserve"> _51-од___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/>
          </w:p>
          <w:p>
            <w:pPr>
              <w:pStyle w:val="37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  <w:p>
            <w:pPr>
              <w:pStyle w:val="37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г. Пенза</w:t>
            </w:r>
            <w:r/>
          </w:p>
        </w:tc>
      </w:tr>
    </w:tbl>
    <w:p>
      <w:pPr>
        <w:pStyle w:val="37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371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изменения</w:t>
      </w:r>
      <w:r>
        <w:rPr>
          <w:b/>
          <w:bCs/>
          <w:sz w:val="28"/>
          <w:szCs w:val="28"/>
        </w:rPr>
        <w:t xml:space="preserve"> в </w:t>
      </w:r>
      <w:r>
        <w:rPr>
          <w:b/>
          <w:sz w:val="28"/>
          <w:szCs w:val="28"/>
        </w:rPr>
        <w:t xml:space="preserve">Кодекс  этики  и  служебного  поведения</w:t>
      </w:r>
      <w:r>
        <w:rPr>
          <w:b/>
          <w:sz w:val="28"/>
          <w:szCs w:val="28"/>
        </w:rPr>
        <w:t xml:space="preserve">  государственных гражданских  служащих  Пензенской  области,  замещающих  должности  государственной гражданской  службы Пензенской  области  в Комитете по делам архивов Пензенской области</w:t>
      </w:r>
      <w:r>
        <w:rPr>
          <w:sz w:val="28"/>
          <w:szCs w:val="28"/>
          <w:lang w:eastAsia="ru-RU"/>
        </w:rPr>
        <w:t xml:space="preserve">, </w:t>
      </w:r>
      <w:r>
        <w:rPr>
          <w:b/>
          <w:sz w:val="28"/>
          <w:szCs w:val="28"/>
          <w:lang w:eastAsia="ru-RU"/>
        </w:rPr>
        <w:t xml:space="preserve">утвержденного приказом Комитета по делам архивов Пензенской области </w:t>
      </w:r>
      <w:r>
        <w:rPr>
          <w:b/>
          <w:sz w:val="28"/>
          <w:szCs w:val="28"/>
        </w:rPr>
        <w:t xml:space="preserve">от 29.03.2017 №13-од</w:t>
      </w:r>
      <w:r>
        <w:rPr>
          <w:b/>
          <w:sz w:val="28"/>
          <w:szCs w:val="28"/>
        </w:rPr>
        <w:t xml:space="preserve"> (с последующими изменениями)</w:t>
      </w:r>
      <w:r>
        <w:rPr>
          <w:b/>
          <w:sz w:val="28"/>
          <w:szCs w:val="28"/>
        </w:rPr>
      </w:r>
      <w:r/>
    </w:p>
    <w:p>
      <w:pPr>
        <w:pStyle w:val="371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</w:r>
      <w:r/>
    </w:p>
    <w:p>
      <w:pPr>
        <w:pStyle w:val="371"/>
        <w:ind w:firstLine="709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eastAsia="zh-CN"/>
        </w:rPr>
        <w:t xml:space="preserve">В  целях приведения нормативного правового акта в соответствие с действующим законодательством, руководствуясь</w:t>
      </w:r>
      <w:r>
        <w:rPr>
          <w:sz w:val="28"/>
          <w:szCs w:val="28"/>
        </w:rPr>
        <w:t xml:space="preserve"> Положением о Комитете по делам архивов Пензенской области,  утвержденным  постановлением  Правительства  Пензенской  области от 03.02.2017 № 48-пП «Об утверждении Положения о Комитете по делам архивов Пензенской области», </w:t>
      </w:r>
      <w:r>
        <w:rPr>
          <w:b/>
          <w:sz w:val="28"/>
          <w:szCs w:val="28"/>
        </w:rPr>
        <w:t xml:space="preserve">п р и к а з ы в а ю: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371"/>
        <w:jc w:val="both"/>
        <w:rPr>
          <w:sz w:val="28"/>
          <w:szCs w:val="28"/>
        </w:rPr>
      </w:pPr>
      <w:r>
        <w:rPr>
          <w:rFonts w:eastAsia="SimSun"/>
          <w:sz w:val="28"/>
          <w:szCs w:val="28"/>
        </w:rPr>
        <w:t xml:space="preserve">         </w:t>
      </w:r>
      <w:r>
        <w:rPr>
          <w:rFonts w:eastAsia="SimSun"/>
          <w:sz w:val="28"/>
          <w:szCs w:val="28"/>
        </w:rPr>
        <w:t xml:space="preserve">1. </w:t>
      </w:r>
      <w:r>
        <w:rPr>
          <w:rFonts w:eastAsia="SimSun"/>
          <w:sz w:val="28"/>
          <w:szCs w:val="28"/>
        </w:rPr>
        <w:t xml:space="preserve">Внести в </w:t>
      </w:r>
      <w:r>
        <w:rPr>
          <w:sz w:val="28"/>
          <w:szCs w:val="28"/>
        </w:rPr>
        <w:t xml:space="preserve">Кодекс  этики  и  служебного  поведения  государственных гражданских  служащих  Пензенской  области,  замещающих  должности  государственной гражданской  службы Пензенской  области  в Комитете по делам архивов Пензенской области</w:t>
      </w:r>
      <w:r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 xml:space="preserve">Кодекс</w:t>
      </w:r>
      <w:r>
        <w:rPr>
          <w:sz w:val="28"/>
          <w:szCs w:val="28"/>
        </w:rPr>
        <w:t xml:space="preserve">), утверждённый приказом Комитета по делам архивов Пензенской области от 29.03.2017 №13-од </w:t>
      </w:r>
      <w:r>
        <w:rPr>
          <w:sz w:val="28"/>
          <w:szCs w:val="28"/>
        </w:rPr>
        <w:t xml:space="preserve">«Об утверждении Кодекса  этики  и  служебного  поведения  государственных гражданских  служащих  Пензенской  области,  замещающих  должности  государственной гражданской  службы Пензенской  области  в Комитете по делам архивов Пензенской области»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(с последующими изменениями)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следующее изменение</w:t>
      </w:r>
      <w:r>
        <w:rPr>
          <w:sz w:val="28"/>
          <w:szCs w:val="28"/>
        </w:rPr>
        <w:t xml:space="preserve">:</w:t>
      </w:r>
      <w:r/>
    </w:p>
    <w:p>
      <w:pPr>
        <w:pStyle w:val="37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1.1. </w:t>
      </w:r>
      <w:r>
        <w:rPr>
          <w:sz w:val="28"/>
          <w:szCs w:val="28"/>
        </w:rPr>
        <w:t xml:space="preserve">Пункт</w:t>
      </w:r>
      <w:r>
        <w:rPr>
          <w:sz w:val="28"/>
          <w:szCs w:val="28"/>
        </w:rPr>
        <w:t xml:space="preserve"> 2.10 Кодекса </w:t>
      </w:r>
      <w:r>
        <w:rPr>
          <w:sz w:val="28"/>
          <w:szCs w:val="28"/>
        </w:rPr>
        <w:t xml:space="preserve">изложить </w:t>
      </w:r>
      <w:r>
        <w:rPr>
          <w:sz w:val="28"/>
          <w:szCs w:val="28"/>
        </w:rPr>
        <w:t xml:space="preserve">в новой редакции:</w:t>
      </w:r>
      <w:r>
        <w:rPr>
          <w:sz w:val="28"/>
          <w:szCs w:val="28"/>
        </w:rPr>
      </w:r>
      <w:r/>
    </w:p>
    <w:p>
      <w:pPr>
        <w:pStyle w:val="378"/>
        <w:ind w:firstLine="709"/>
        <w:jc w:val="both"/>
        <w:spacing w:after="0" w:afterAutospacing="0" w:before="0" w:beforeAutospacing="0"/>
        <w:rPr>
          <w:sz w:val="28"/>
          <w:szCs w:val="28"/>
        </w:rPr>
      </w:pPr>
      <w:r>
        <w:rPr>
          <w:sz w:val="28"/>
          <w:szCs w:val="28"/>
        </w:rPr>
        <w:t xml:space="preserve">«2.10.Государственному служащему, его супруге (супругу) и несовершеннолетним детям запрещается о</w:t>
      </w:r>
      <w:r>
        <w:rPr>
          <w:sz w:val="28"/>
          <w:szCs w:val="28"/>
        </w:rPr>
        <w:t xml:space="preserve">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 случаях, предусмотренных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"http://internet.garant.ru/" \l "/document/70372954/entry/0" </w:instrText>
      </w:r>
      <w:r>
        <w:rPr>
          <w:sz w:val="28"/>
          <w:szCs w:val="28"/>
        </w:rPr>
        <w:fldChar w:fldCharType="separate"/>
      </w:r>
      <w:r>
        <w:rPr>
          <w:rStyle w:val="377"/>
          <w:color w:val="000000"/>
          <w:sz w:val="28"/>
          <w:szCs w:val="28"/>
          <w:u w:val="none"/>
        </w:rPr>
        <w:t xml:space="preserve">Федеральным законом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</w:t>
      </w:r>
      <w:r>
        <w:rPr>
          <w:sz w:val="28"/>
          <w:szCs w:val="28"/>
        </w:rPr>
        <w:t xml:space="preserve">ться иностранными инструментами». При этом понятие «</w:t>
      </w:r>
      <w:r>
        <w:rPr>
          <w:sz w:val="28"/>
          <w:szCs w:val="28"/>
        </w:rPr>
        <w:t xml:space="preserve">ино</w:t>
      </w:r>
      <w:r>
        <w:rPr>
          <w:sz w:val="28"/>
          <w:szCs w:val="28"/>
        </w:rPr>
        <w:t xml:space="preserve">странные финансовые инструменты»</w:t>
      </w:r>
      <w:r>
        <w:rPr>
          <w:sz w:val="28"/>
          <w:szCs w:val="28"/>
        </w:rPr>
        <w:t xml:space="preserve"> используется в Кодексе в значении, определённом указанным Федеральным законом.</w:t>
      </w:r>
      <w:r/>
    </w:p>
    <w:p>
      <w:pPr>
        <w:pStyle w:val="378"/>
        <w:ind w:firstLine="709"/>
        <w:jc w:val="both"/>
        <w:spacing w:after="0" w:afterAutospacing="0" w:before="0" w:beforeAutospacing="0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Государственному служащему запрещается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</w:t>
      </w:r>
      <w:r>
        <w:rPr>
          <w:sz w:val="28"/>
          <w:szCs w:val="28"/>
          <w:highlight w:val="white"/>
        </w:rPr>
        <w:t xml:space="preserve">политической партией;</w:t>
      </w:r>
      <w:r>
        <w:rPr>
          <w:sz w:val="28"/>
          <w:szCs w:val="28"/>
          <w:highlight w:val="white"/>
        </w:rPr>
        <w:t xml:space="preserve"> участия в съезде (конференции) или общем собрании иной общественной организации, ж</w:t>
      </w:r>
      <w:r>
        <w:rPr>
          <w:sz w:val="28"/>
          <w:szCs w:val="28"/>
          <w:highlight w:val="white"/>
        </w:rPr>
        <w:t xml:space="preserve">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недвижимости; участия на безвозмездной основе в управлении указанными некоммерческими организациями (</w:t>
      </w:r>
      <w:r>
        <w:rPr>
          <w:sz w:val="28"/>
          <w:szCs w:val="28"/>
          <w:highlight w:val="white"/>
        </w:rPr>
        <w:t xml:space="preserve">кроме политической партии</w:t>
      </w:r>
      <w:r>
        <w:rPr>
          <w:sz w:val="28"/>
          <w:szCs w:val="28"/>
          <w:highlight w:val="white"/>
        </w:rPr>
        <w:t xml:space="preserve">) в качестве единоличного исполнительного органа или вхождения в состав</w:t>
      </w:r>
      <w:r>
        <w:rPr>
          <w:sz w:val="28"/>
          <w:szCs w:val="28"/>
        </w:rPr>
        <w:t xml:space="preserve"> их коллегиальных органов управления с разрешения представителя нанимателя</w:t>
      </w:r>
      <w:r>
        <w:rPr>
          <w:rStyle w:val="379"/>
          <w:sz w:val="28"/>
          <w:szCs w:val="28"/>
        </w:rPr>
        <w:t xml:space="preserve">, </w:t>
      </w:r>
      <w:r>
        <w:rPr>
          <w:rStyle w:val="379"/>
          <w:i w:val="false"/>
          <w:iCs w:val="false"/>
          <w:sz w:val="28"/>
          <w:szCs w:val="28"/>
        </w:rPr>
        <w:t xml:space="preserve">которое получено</w:t>
      </w:r>
      <w:r>
        <w:rPr>
          <w:sz w:val="28"/>
          <w:szCs w:val="28"/>
        </w:rPr>
        <w:t xml:space="preserve"> в порядке, установленном нормативным правовым актом Комитета), кроме случаев, предусмотренных </w:t>
      </w:r>
      <w:r>
        <w:rPr>
          <w:rStyle w:val="379"/>
          <w:sz w:val="28"/>
          <w:szCs w:val="28"/>
        </w:rPr>
        <w:fldChar w:fldCharType="begin"/>
      </w:r>
      <w:r>
        <w:rPr>
          <w:rStyle w:val="379"/>
          <w:sz w:val="28"/>
          <w:szCs w:val="28"/>
        </w:rPr>
        <w:instrText xml:space="preserve"> HYPERLINK "http://internet.garant.ru/" \l "/document/12136354/entry/170103" </w:instrText>
      </w:r>
      <w:r>
        <w:rPr>
          <w:rStyle w:val="379"/>
          <w:sz w:val="28"/>
          <w:szCs w:val="28"/>
        </w:rPr>
        <w:fldChar w:fldCharType="separate"/>
      </w:r>
      <w:r>
        <w:rPr>
          <w:rStyle w:val="377"/>
          <w:color w:val="000000"/>
          <w:sz w:val="28"/>
          <w:szCs w:val="28"/>
          <w:u w:val="none"/>
        </w:rPr>
        <w:t xml:space="preserve">пунктом 3 части 1 статьи 17</w:t>
      </w:r>
      <w:r>
        <w:rPr>
          <w:rStyle w:val="379"/>
          <w:sz w:val="28"/>
          <w:szCs w:val="28"/>
        </w:rPr>
        <w:fldChar w:fldCharType="end"/>
      </w:r>
      <w:r>
        <w:rPr>
          <w:rStyle w:val="379"/>
          <w:sz w:val="28"/>
          <w:szCs w:val="28"/>
        </w:rPr>
        <w:t xml:space="preserve"> </w:t>
      </w:r>
      <w:r>
        <w:rPr>
          <w:rStyle w:val="379"/>
          <w:i w:val="false"/>
          <w:iCs w:val="false"/>
          <w:sz w:val="28"/>
          <w:szCs w:val="28"/>
        </w:rPr>
        <w:t xml:space="preserve">Фед</w:t>
      </w:r>
      <w:r>
        <w:rPr>
          <w:rStyle w:val="379"/>
          <w:i w:val="false"/>
          <w:iCs w:val="false"/>
          <w:sz w:val="28"/>
          <w:szCs w:val="28"/>
        </w:rPr>
        <w:t xml:space="preserve">ерального закона от 27.07.2004 № 79-ФЗ «</w:t>
      </w:r>
      <w:r>
        <w:rPr>
          <w:rStyle w:val="379"/>
          <w:i w:val="false"/>
          <w:iCs w:val="false"/>
          <w:sz w:val="28"/>
          <w:szCs w:val="28"/>
        </w:rPr>
        <w:t xml:space="preserve">О государственной гражданской службе</w:t>
      </w:r>
      <w:r>
        <w:rPr>
          <w:sz w:val="28"/>
          <w:szCs w:val="28"/>
        </w:rPr>
        <w:t xml:space="preserve"> Российской Федерации</w:t>
      </w:r>
      <w:r>
        <w:rPr>
          <w:rStyle w:val="379"/>
          <w:sz w:val="28"/>
          <w:szCs w:val="28"/>
        </w:rPr>
        <w:t xml:space="preserve">»</w:t>
      </w:r>
      <w:r>
        <w:rPr>
          <w:sz w:val="28"/>
          <w:szCs w:val="28"/>
        </w:rPr>
        <w:t xml:space="preserve">.</w:t>
      </w:r>
      <w:r/>
    </w:p>
    <w:p>
      <w:pPr>
        <w:pStyle w:val="378"/>
        <w:ind w:firstLine="709"/>
        <w:jc w:val="both"/>
        <w:spacing w:after="0" w:afterAutospacing="0" w:before="0" w:beforeAutospacing="0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Государственному служащему запрещается входить в состав органов управления, попечительских или наблюдательных советов, иных </w:t>
      </w:r>
      <w:r>
        <w:rPr>
          <w:sz w:val="28"/>
          <w:szCs w:val="28"/>
        </w:rPr>
        <w:t xml:space="preserve">органов иностранных некоммерческих неправительственных организаций и действующих на территории Российской Федерации их структурных подразделений, а также заниматься без письменного разрешения представителя нанимателя оплачиваемой деятельностью, финансируем</w:t>
      </w:r>
      <w:r>
        <w:rPr>
          <w:sz w:val="28"/>
          <w:szCs w:val="28"/>
        </w:rPr>
        <w:t xml:space="preserve">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  <w:r/>
    </w:p>
    <w:p>
      <w:pPr>
        <w:pStyle w:val="378"/>
        <w:ind w:firstLine="709"/>
        <w:jc w:val="both"/>
        <w:spacing w:after="0" w:afterAutospacing="0" w:before="0" w:beforeAutospacing="0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интересов.».</w:t>
      </w:r>
      <w:r/>
    </w:p>
    <w:p>
      <w:pPr>
        <w:pStyle w:val="37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Приказ Комитета по делам архивов Пензенской области от 25</w:t>
      </w:r>
      <w:r>
        <w:rPr>
          <w:sz w:val="28"/>
          <w:szCs w:val="28"/>
        </w:rPr>
        <w:t xml:space="preserve">.10</w:t>
      </w:r>
      <w:r>
        <w:rPr>
          <w:sz w:val="28"/>
          <w:szCs w:val="28"/>
        </w:rPr>
        <w:t xml:space="preserve">.2018 №45</w:t>
      </w:r>
      <w:r>
        <w:rPr>
          <w:sz w:val="28"/>
          <w:szCs w:val="28"/>
        </w:rPr>
        <w:t xml:space="preserve">-од «О внесении изменения в Кодекс  этики  и  служебного  поведения  государственных гражданских  служащих  Пензенской  области,  замещающих  должности  государственной гражданской  службы Пензенской  области  в Комитете по делам архивов Пензенской области</w:t>
      </w:r>
      <w:r>
        <w:rPr>
          <w:sz w:val="28"/>
          <w:szCs w:val="28"/>
          <w:lang w:eastAsia="ru-RU"/>
        </w:rPr>
        <w:t xml:space="preserve">, утвержденного приказом Комитета по делам архивов Пензенской области </w:t>
      </w:r>
      <w:r>
        <w:rPr>
          <w:sz w:val="28"/>
          <w:szCs w:val="28"/>
        </w:rPr>
        <w:t xml:space="preserve">от 29.03.2017 №13-од (с последующими изменениями)» признать утратившим силу.</w:t>
      </w:r>
      <w:r/>
    </w:p>
    <w:p>
      <w:pPr>
        <w:pStyle w:val="371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371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371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371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3.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Настоящий приказ вступает в силу со дня его официального опубликования.</w:t>
      </w:r>
      <w:r>
        <w:rPr>
          <w:b/>
          <w:sz w:val="28"/>
          <w:szCs w:val="28"/>
        </w:rPr>
      </w:r>
      <w:r/>
    </w:p>
    <w:p>
      <w:pPr>
        <w:pStyle w:val="371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 Настоящий приказ разместить (опубликовать) на «Официальном интернет-портале правовой информации</w:t>
      </w:r>
      <w:r>
        <w:rPr>
          <w:sz w:val="28"/>
          <w:szCs w:val="28"/>
        </w:rPr>
        <w:t xml:space="preserve">» (</w:t>
      </w:r>
      <w:r>
        <w:rPr>
          <w:sz w:val="28"/>
          <w:szCs w:val="28"/>
          <w:lang w:val="en-US"/>
        </w:rPr>
        <w:fldChar w:fldCharType="begin"/>
      </w:r>
      <w:r>
        <w:rPr>
          <w:sz w:val="28"/>
          <w:szCs w:val="28"/>
        </w:rPr>
        <w:instrText xml:space="preserve"> </w:instrText>
      </w:r>
      <w:r>
        <w:rPr>
          <w:sz w:val="28"/>
          <w:szCs w:val="28"/>
          <w:lang w:val="en-US"/>
        </w:rPr>
        <w:instrText xml:space="preserve">HYPERLINK</w:instrText>
      </w:r>
      <w:r>
        <w:rPr>
          <w:sz w:val="28"/>
          <w:szCs w:val="28"/>
        </w:rPr>
        <w:instrText xml:space="preserve"> "</w:instrText>
      </w:r>
      <w:r>
        <w:rPr>
          <w:sz w:val="28"/>
          <w:szCs w:val="28"/>
          <w:lang w:val="en-US"/>
        </w:rPr>
        <w:instrText xml:space="preserve">http</w:instrText>
      </w:r>
      <w:r>
        <w:rPr>
          <w:sz w:val="28"/>
          <w:szCs w:val="28"/>
        </w:rPr>
        <w:instrText xml:space="preserve">://</w:instrText>
      </w:r>
      <w:r>
        <w:rPr>
          <w:sz w:val="28"/>
          <w:szCs w:val="28"/>
          <w:lang w:val="en-US"/>
        </w:rPr>
        <w:instrText xml:space="preserve">www</w:instrText>
      </w:r>
      <w:r>
        <w:rPr>
          <w:sz w:val="28"/>
          <w:szCs w:val="28"/>
        </w:rPr>
        <w:instrText xml:space="preserve">.</w:instrText>
      </w:r>
      <w:r>
        <w:rPr>
          <w:sz w:val="28"/>
          <w:szCs w:val="28"/>
          <w:lang w:val="en-US"/>
        </w:rPr>
        <w:instrText xml:space="preserve">pravo</w:instrText>
      </w:r>
      <w:r>
        <w:rPr>
          <w:sz w:val="28"/>
          <w:szCs w:val="28"/>
        </w:rPr>
        <w:instrText xml:space="preserve">.</w:instrText>
      </w:r>
      <w:r>
        <w:rPr>
          <w:sz w:val="28"/>
          <w:szCs w:val="28"/>
          <w:lang w:val="en-US"/>
        </w:rPr>
        <w:instrText xml:space="preserve">gov</w:instrText>
      </w:r>
      <w:r>
        <w:rPr>
          <w:sz w:val="28"/>
          <w:szCs w:val="28"/>
        </w:rPr>
        <w:instrText xml:space="preserve">.</w:instrText>
      </w:r>
      <w:r>
        <w:rPr>
          <w:sz w:val="28"/>
          <w:szCs w:val="28"/>
          <w:lang w:val="en-US"/>
        </w:rPr>
        <w:instrText xml:space="preserve">ru</w:instrText>
      </w:r>
      <w:r>
        <w:rPr>
          <w:sz w:val="28"/>
          <w:szCs w:val="28"/>
        </w:rPr>
        <w:instrText xml:space="preserve">" </w:instrText>
      </w:r>
      <w:r>
        <w:rPr>
          <w:sz w:val="28"/>
          <w:szCs w:val="28"/>
          <w:lang w:val="en-US"/>
        </w:rPr>
        <w:fldChar w:fldCharType="separate"/>
      </w:r>
      <w:r>
        <w:rPr>
          <w:rStyle w:val="377"/>
          <w:sz w:val="28"/>
          <w:szCs w:val="28"/>
          <w:lang w:val="en-US"/>
        </w:rPr>
        <w:t xml:space="preserve">www</w:t>
      </w:r>
      <w:r>
        <w:rPr>
          <w:rStyle w:val="377"/>
          <w:sz w:val="28"/>
          <w:szCs w:val="28"/>
        </w:rPr>
        <w:t xml:space="preserve">.</w:t>
      </w:r>
      <w:r>
        <w:rPr>
          <w:rStyle w:val="377"/>
          <w:sz w:val="28"/>
          <w:szCs w:val="28"/>
          <w:lang w:val="en-US"/>
        </w:rPr>
        <w:t xml:space="preserve">pravo</w:t>
      </w:r>
      <w:r>
        <w:rPr>
          <w:rStyle w:val="377"/>
          <w:sz w:val="28"/>
          <w:szCs w:val="28"/>
        </w:rPr>
        <w:t xml:space="preserve">.</w:t>
      </w:r>
      <w:r>
        <w:rPr>
          <w:rStyle w:val="377"/>
          <w:sz w:val="28"/>
          <w:szCs w:val="28"/>
          <w:lang w:val="en-US"/>
        </w:rPr>
        <w:t xml:space="preserve">gov</w:t>
      </w:r>
      <w:r>
        <w:rPr>
          <w:rStyle w:val="377"/>
          <w:sz w:val="28"/>
          <w:szCs w:val="28"/>
        </w:rPr>
        <w:t xml:space="preserve">.</w:t>
      </w:r>
      <w:r>
        <w:rPr>
          <w:rStyle w:val="377"/>
          <w:sz w:val="28"/>
          <w:szCs w:val="28"/>
          <w:lang w:val="en-US"/>
        </w:rPr>
        <w:t xml:space="preserve">ru</w:t>
      </w:r>
      <w:r>
        <w:rPr>
          <w:sz w:val="28"/>
          <w:szCs w:val="28"/>
          <w:lang w:val="en-US"/>
        </w:rPr>
        <w:fldChar w:fldCharType="end"/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 и на официальном сайте Комитета по делам архивов Пензенской области в информационно-телекоммуникационной сети «Интернет».</w:t>
      </w:r>
      <w:r/>
    </w:p>
    <w:p>
      <w:pPr>
        <w:pStyle w:val="371"/>
        <w:jc w:val="both"/>
        <w:tabs>
          <w:tab w:val="left" w:pos="720" w:leader="none"/>
        </w:tabs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         5</w:t>
      </w:r>
      <w:r>
        <w:rPr>
          <w:spacing w:val="2"/>
          <w:sz w:val="28"/>
          <w:szCs w:val="28"/>
          <w:lang w:eastAsia="ru-RU"/>
        </w:rPr>
        <w:t xml:space="preserve">. Контроль за исполнением настоящего приказа оставляю за собой</w:t>
      </w:r>
      <w:r>
        <w:rPr>
          <w:sz w:val="28"/>
          <w:szCs w:val="28"/>
          <w:lang w:eastAsia="ru-RU"/>
        </w:rPr>
        <w:t xml:space="preserve">.</w:t>
      </w:r>
      <w:r>
        <w:rPr>
          <w:spacing w:val="2"/>
          <w:sz w:val="28"/>
          <w:szCs w:val="28"/>
          <w:lang w:eastAsia="ru-RU"/>
        </w:rPr>
        <w:t xml:space="preserve"> </w:t>
      </w:r>
      <w:r/>
    </w:p>
    <w:p>
      <w:pPr>
        <w:pStyle w:val="371"/>
        <w:ind w:firstLine="720"/>
        <w:jc w:val="both"/>
        <w:tabs>
          <w:tab w:val="left" w:pos="540" w:leader="none"/>
        </w:tabs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</w:r>
      <w:r/>
    </w:p>
    <w:p>
      <w:pPr>
        <w:pStyle w:val="371"/>
        <w:ind w:firstLine="720"/>
        <w:jc w:val="both"/>
        <w:tabs>
          <w:tab w:val="left" w:pos="540" w:leader="none"/>
        </w:tabs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</w:r>
      <w:r/>
    </w:p>
    <w:p>
      <w:pPr>
        <w:pStyle w:val="371"/>
        <w:ind w:firstLine="720"/>
        <w:jc w:val="both"/>
        <w:tabs>
          <w:tab w:val="left" w:pos="540" w:leader="none"/>
        </w:tabs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</w:r>
      <w:r/>
    </w:p>
    <w:p>
      <w:pPr>
        <w:pStyle w:val="371"/>
        <w:jc w:val="both"/>
        <w:tabs>
          <w:tab w:val="left" w:pos="540" w:leader="none"/>
        </w:tabs>
        <w:rPr>
          <w:spacing w:val="2"/>
          <w:sz w:val="28"/>
          <w:szCs w:val="28"/>
          <w:lang w:eastAsia="ru-RU"/>
        </w:rPr>
      </w:pPr>
      <w:r>
        <w:rPr>
          <w:rFonts w:eastAsia="SimSun"/>
          <w:spacing w:val="2"/>
          <w:sz w:val="28"/>
          <w:szCs w:val="28"/>
          <w:lang w:eastAsia="zh-CN"/>
        </w:rPr>
        <w:t xml:space="preserve">Председатель Комитета                </w:t>
      </w:r>
      <w:r>
        <w:rPr>
          <w:rFonts w:eastAsia="SimSun"/>
          <w:spacing w:val="2"/>
          <w:sz w:val="28"/>
          <w:szCs w:val="28"/>
          <w:lang w:eastAsia="zh-CN"/>
        </w:rPr>
        <w:t xml:space="preserve">   </w:t>
      </w:r>
      <w:r>
        <w:rPr>
          <w:rFonts w:eastAsia="SimSun"/>
          <w:spacing w:val="2"/>
          <w:sz w:val="28"/>
          <w:szCs w:val="28"/>
          <w:lang w:eastAsia="zh-CN"/>
        </w:rPr>
        <w:t xml:space="preserve">  З.Х.Бибарсов</w:t>
      </w:r>
      <w:r>
        <w:rPr>
          <w:spacing w:val="2"/>
          <w:sz w:val="28"/>
          <w:szCs w:val="28"/>
          <w:lang w:eastAsia="ru-RU"/>
        </w:rPr>
      </w:r>
      <w:r/>
    </w:p>
    <w:p>
      <w:pPr>
        <w:pStyle w:val="371"/>
      </w:pPr>
      <w:r/>
      <w:r/>
    </w:p>
    <w:p>
      <w:pPr>
        <w:pStyle w:val="371"/>
      </w:pPr>
      <w:r/>
      <w:r/>
    </w:p>
    <w:p>
      <w:pPr>
        <w:pStyle w:val="371"/>
      </w:pPr>
      <w:r/>
      <w:r/>
    </w:p>
    <w:p>
      <w:pPr>
        <w:pStyle w:val="371"/>
      </w:pPr>
      <w:r/>
      <w:r/>
    </w:p>
    <w:p>
      <w:pPr>
        <w:pStyle w:val="371"/>
      </w:pPr>
      <w:r/>
      <w:r/>
    </w:p>
    <w:p>
      <w:pPr>
        <w:pStyle w:val="371"/>
      </w:pPr>
      <w:r/>
      <w:r/>
    </w:p>
    <w:sectPr>
      <w:headerReference w:type="default" r:id="rId7"/>
      <w:footnotePr/>
      <w:type w:val="nextPage"/>
      <w:pgSz w:w="11906" w:h="16838" w:orient="portrait"/>
      <w:pgMar w:top="1134" w:right="850" w:bottom="851" w:left="1701" w:header="708" w:footer="708" w:gutter="0"/>
      <w:cols w:num="1" w:sep="0" w:space="708" w:equalWidth="1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SimSun">
    <w:panose1 w:val="02010600030101010101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pPr>
        <w:spacing w:lineRule="auto" w:line="240" w:after="0"/>
      </w:pPr>
      <w:r/>
      <w:r>
        <w:separator/>
      </w:r>
      <w:r/>
    </w:p>
  </w:footnote>
  <w:footnote w:type="continuationSeparator" w:id="0">
    <w:p>
      <w:pPr>
        <w:spacing w:lineRule="auto" w:line="240" w:after="0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375"/>
      <w:jc w:val="center"/>
    </w:pPr>
    <w:r/>
    <w:r/>
  </w:p>
  <w:p>
    <w:pPr>
      <w:pStyle w:val="375"/>
    </w:pPr>
    <w:r/>
    <w:r/>
  </w:p>
</w:hdr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SimSun"/>
        <w:color w:val="auto"/>
        <w:spacing w:val="0"/>
        <w:position w:val="0"/>
        <w:sz w:val="20"/>
        <w:szCs w:val="22"/>
        <w:lang w:val="ru-RU" w:bidi="en-US" w:eastAsia="en-US"/>
      </w:rPr>
    </w:rPrDefault>
    <w:pPrDefault>
      <w:pPr>
        <w:ind w:left="0" w:right="0" w:firstLine="0"/>
        <w:jc w:val="left"/>
        <w:spacing w:lineRule="auto" w:line="240" w:after="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8"/>
    <w:next w:val="8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8"/>
    <w:next w:val="8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8"/>
    <w:next w:val="8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8"/>
    <w:next w:val="8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8"/>
    <w:next w:val="8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8"/>
    <w:next w:val="8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8"/>
    <w:next w:val="8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8"/>
    <w:next w:val="8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8"/>
    <w:next w:val="8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8"/>
    <w:qFormat/>
    <w:uiPriority w:val="34"/>
    <w:pPr>
      <w:contextualSpacing w:val="true"/>
      <w:ind w:left="720"/>
    </w:p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8"/>
    <w:next w:val="8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9"/>
    <w:link w:val="32"/>
    <w:uiPriority w:val="10"/>
    <w:rPr>
      <w:sz w:val="48"/>
      <w:szCs w:val="48"/>
    </w:rPr>
  </w:style>
  <w:style w:type="paragraph" w:styleId="34">
    <w:name w:val="Subtitle"/>
    <w:basedOn w:val="8"/>
    <w:next w:val="8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9"/>
    <w:link w:val="34"/>
    <w:uiPriority w:val="11"/>
    <w:rPr>
      <w:sz w:val="24"/>
      <w:szCs w:val="24"/>
    </w:rPr>
  </w:style>
  <w:style w:type="paragraph" w:styleId="36">
    <w:name w:val="Quote"/>
    <w:basedOn w:val="8"/>
    <w:next w:val="8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8"/>
    <w:next w:val="8"/>
    <w:link w:val="39"/>
    <w:qFormat/>
    <w:uiPriority w:val="30"/>
    <w:rPr>
      <w:i/>
    </w:rPr>
    <w:pPr>
      <w:contextualSpacing w:val="false"/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8"/>
    <w:link w:val="4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9"/>
    <w:link w:val="40"/>
    <w:uiPriority w:val="99"/>
  </w:style>
  <w:style w:type="paragraph" w:styleId="42">
    <w:name w:val="Footer"/>
    <w:basedOn w:val="8"/>
    <w:link w:val="4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9"/>
    <w:link w:val="42"/>
    <w:uiPriority w:val="99"/>
  </w:style>
  <w:style w:type="paragraph" w:styleId="44">
    <w:name w:val="Caption"/>
    <w:basedOn w:val="8"/>
    <w:next w:val="8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30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text1" w:themeFillTint="40"/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1" w:themeFillTint="34"/>
    </w:tblPr>
    <w:tblStylePr w:type="band1Horz">
      <w:tcPr>
        <w:shd w:val="clear" w:color="auto" w:fill="FFFFFF" w:themeFill="accent1" w:themeFillTint="75"/>
      </w:tcPr>
    </w:tblStylePr>
    <w:tblStylePr w:type="band1Vert">
      <w:tcPr>
        <w:shd w:val="clear" w:color="auto" w:fill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2" w:themeFillTint="32"/>
    </w:tblPr>
    <w:tblStylePr w:type="band1Horz">
      <w:tcPr>
        <w:shd w:val="clear" w:color="auto" w:fill="FFFFFF" w:themeFill="accent2" w:themeFillTint="75"/>
      </w:tcPr>
    </w:tblStylePr>
    <w:tblStylePr w:type="band1Vert">
      <w:tcPr>
        <w:shd w:val="clear" w:color="auto" w:fill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3" w:themeFillTint="34"/>
    </w:tblPr>
    <w:tblStylePr w:type="band1Horz">
      <w:tcPr>
        <w:shd w:val="clear" w:color="auto" w:fill="FFFFFF" w:themeFill="accent3" w:themeFillTint="75"/>
      </w:tcPr>
    </w:tblStylePr>
    <w:tblStylePr w:type="band1Vert">
      <w:tcPr>
        <w:shd w:val="clear" w:color="auto" w:fill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4" w:themeFillTint="34"/>
    </w:tblPr>
    <w:tblStylePr w:type="band1Horz">
      <w:tcPr>
        <w:shd w:val="clear" w:color="auto" w:fill="FFFFFF" w:themeFill="accent4" w:themeFillTint="75"/>
      </w:tcPr>
    </w:tblStylePr>
    <w:tblStylePr w:type="band1Vert">
      <w:tcPr>
        <w:shd w:val="clear" w:color="auto" w:fill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5" w:themeFillTint="34"/>
    </w:tblPr>
    <w:tblStylePr w:type="band1Horz">
      <w:tcPr>
        <w:shd w:val="clear" w:color="auto" w:fill="FFFFFF" w:themeFill="accent5" w:themeFillTint="75"/>
      </w:tcPr>
    </w:tblStylePr>
    <w:tblStylePr w:type="band1Vert">
      <w:tcPr>
        <w:shd w:val="clear" w:color="auto" w:fill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6" w:themeFillTint="34"/>
    </w:tblPr>
    <w:tblStylePr w:type="band1Horz">
      <w:tcPr>
        <w:shd w:val="clear" w:color="auto" w:fill="FFFFFF" w:themeFill="accent6" w:themeFillTint="75"/>
      </w:tcPr>
    </w:tblStylePr>
    <w:tblStylePr w:type="band1Vert">
      <w:tcPr>
        <w:shd w:val="clear" w:color="auto" w:fill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auto" w:fill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auto" w:fill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auto" w:fill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auto" w:fill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auto" w:fill="FFFFFF" w:themeFill="text1" w:themeFillTint="80"/>
    </w:tblPr>
    <w:tblStylePr w:type="band1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auto" w:fill="FFFFFF" w:themeFill="accent1"/>
    </w:tblPr>
    <w:tblStylePr w:type="band1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auto" w:fill="FFFFFF" w:themeFill="accent2" w:themeFillTint="97"/>
    </w:tblPr>
    <w:tblStylePr w:type="band1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auto" w:fill="FFFFFF" w:themeFill="accent3" w:themeFillTint="98"/>
    </w:tblPr>
    <w:tblStylePr w:type="band1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auto" w:fill="FFFFFF" w:themeFill="accent4" w:themeFillTint="9A"/>
    </w:tblPr>
    <w:tblStylePr w:type="band1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auto" w:fill="FFFFFF" w:themeFill="accent5" w:themeFillTint="9A"/>
    </w:tblPr>
    <w:tblStylePr w:type="band1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auto" w:fill="FFFFFF" w:themeFill="accent6" w:themeFillTint="98"/>
    </w:tblPr>
    <w:tblStylePr w:type="band1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auto" w:fill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auto" w:fill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auto" w:fill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auto" w:fill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2">
    <w:name w:val="Lined - Accent 1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153">
    <w:name w:val="Lined - Accent 2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154">
    <w:name w:val="Lined - Accent 3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155">
    <w:name w:val="Lined - Accent 4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156">
    <w:name w:val="Lined - Accent 5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157">
    <w:name w:val="Lined - Accent 6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158">
    <w:name w:val="Bordered &amp; Lined - Accent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9">
    <w:name w:val="Bordered &amp; Lined - Accent 1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160">
    <w:name w:val="Bordered &amp; Lined - Accent 2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161">
    <w:name w:val="Bordered &amp; Lined - Accent 3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162">
    <w:name w:val="Bordered &amp; Lined - Accent 4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163">
    <w:name w:val="Bordered &amp; Lined - Accent 5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164">
    <w:name w:val="Bordered &amp; Lined - Accent 6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165">
    <w:name w:val="Bordered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8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9"/>
    <w:uiPriority w:val="99"/>
    <w:unhideWhenUsed/>
    <w:rPr>
      <w:vertAlign w:val="superscript"/>
    </w:rPr>
  </w:style>
  <w:style w:type="paragraph" w:styleId="176">
    <w:name w:val="toc 1"/>
    <w:basedOn w:val="8"/>
    <w:next w:val="8"/>
    <w:uiPriority w:val="39"/>
    <w:unhideWhenUsed/>
    <w:pPr>
      <w:ind w:left="0" w:right="0" w:firstLine="0"/>
      <w:spacing w:after="57"/>
    </w:pPr>
  </w:style>
  <w:style w:type="paragraph" w:styleId="177">
    <w:name w:val="toc 2"/>
    <w:basedOn w:val="8"/>
    <w:next w:val="8"/>
    <w:uiPriority w:val="39"/>
    <w:unhideWhenUsed/>
    <w:pPr>
      <w:ind w:left="283" w:right="0" w:firstLine="0"/>
      <w:spacing w:after="57"/>
    </w:pPr>
  </w:style>
  <w:style w:type="paragraph" w:styleId="178">
    <w:name w:val="toc 3"/>
    <w:basedOn w:val="8"/>
    <w:next w:val="8"/>
    <w:uiPriority w:val="39"/>
    <w:unhideWhenUsed/>
    <w:pPr>
      <w:ind w:left="567" w:right="0" w:firstLine="0"/>
      <w:spacing w:after="57"/>
    </w:pPr>
  </w:style>
  <w:style w:type="paragraph" w:styleId="179">
    <w:name w:val="toc 4"/>
    <w:basedOn w:val="8"/>
    <w:next w:val="8"/>
    <w:uiPriority w:val="39"/>
    <w:unhideWhenUsed/>
    <w:pPr>
      <w:ind w:left="850" w:right="0" w:firstLine="0"/>
      <w:spacing w:after="57"/>
    </w:pPr>
  </w:style>
  <w:style w:type="paragraph" w:styleId="180">
    <w:name w:val="toc 5"/>
    <w:basedOn w:val="8"/>
    <w:next w:val="8"/>
    <w:uiPriority w:val="39"/>
    <w:unhideWhenUsed/>
    <w:pPr>
      <w:ind w:left="1134" w:right="0" w:firstLine="0"/>
      <w:spacing w:after="57"/>
    </w:pPr>
  </w:style>
  <w:style w:type="paragraph" w:styleId="181">
    <w:name w:val="toc 6"/>
    <w:basedOn w:val="8"/>
    <w:next w:val="8"/>
    <w:uiPriority w:val="39"/>
    <w:unhideWhenUsed/>
    <w:pPr>
      <w:ind w:left="1417" w:right="0" w:firstLine="0"/>
      <w:spacing w:after="57"/>
    </w:pPr>
  </w:style>
  <w:style w:type="paragraph" w:styleId="182">
    <w:name w:val="toc 7"/>
    <w:basedOn w:val="8"/>
    <w:next w:val="8"/>
    <w:uiPriority w:val="39"/>
    <w:unhideWhenUsed/>
    <w:pPr>
      <w:ind w:left="1701" w:right="0" w:firstLine="0"/>
      <w:spacing w:after="57"/>
    </w:pPr>
  </w:style>
  <w:style w:type="paragraph" w:styleId="183">
    <w:name w:val="toc 8"/>
    <w:basedOn w:val="8"/>
    <w:next w:val="8"/>
    <w:uiPriority w:val="39"/>
    <w:unhideWhenUsed/>
    <w:pPr>
      <w:ind w:left="1984" w:right="0" w:firstLine="0"/>
      <w:spacing w:after="57"/>
    </w:pPr>
  </w:style>
  <w:style w:type="paragraph" w:styleId="184">
    <w:name w:val="toc 9"/>
    <w:basedOn w:val="8"/>
    <w:next w:val="8"/>
    <w:uiPriority w:val="39"/>
    <w:unhideWhenUsed/>
    <w:pPr>
      <w:ind w:left="2268" w:right="0" w:firstLine="0"/>
      <w:spacing w:after="57"/>
    </w:pPr>
  </w:style>
  <w:style w:type="paragraph" w:styleId="185">
    <w:name w:val="TOC Heading"/>
    <w:uiPriority w:val="39"/>
    <w:unhideWhenUsed/>
  </w:style>
  <w:style w:type="paragraph" w:styleId="371">
    <w:name w:val="Обычный"/>
    <w:next w:val="371"/>
    <w:link w:val="371"/>
    <w:rPr>
      <w:rFonts w:eastAsia="Times New Roman"/>
      <w:sz w:val="24"/>
      <w:szCs w:val="24"/>
      <w:lang w:val="ru-RU" w:bidi="ar-SA" w:eastAsia="en-US"/>
    </w:rPr>
  </w:style>
  <w:style w:type="character" w:styleId="372">
    <w:name w:val="Основной шрифт абзаца"/>
    <w:next w:val="372"/>
    <w:link w:val="380"/>
    <w:semiHidden/>
  </w:style>
  <w:style w:type="table" w:styleId="373">
    <w:name w:val="Обычная таблица"/>
    <w:next w:val="373"/>
    <w:link w:val="371"/>
    <w:semiHidden/>
    <w:tblPr/>
  </w:style>
  <w:style w:type="numbering" w:styleId="374">
    <w:name w:val="Нет списка"/>
    <w:next w:val="374"/>
    <w:link w:val="371"/>
    <w:semiHidden/>
  </w:style>
  <w:style w:type="paragraph" w:styleId="375">
    <w:name w:val="Верхний колонтитул"/>
    <w:basedOn w:val="371"/>
    <w:next w:val="375"/>
    <w:link w:val="376"/>
    <w:pPr>
      <w:tabs>
        <w:tab w:val="center" w:pos="4677" w:leader="none"/>
        <w:tab w:val="right" w:pos="9355" w:leader="none"/>
      </w:tabs>
    </w:pPr>
  </w:style>
  <w:style w:type="character" w:styleId="376">
    <w:name w:val=" Знак"/>
    <w:next w:val="376"/>
    <w:link w:val="375"/>
    <w:rPr>
      <w:sz w:val="24"/>
      <w:szCs w:val="24"/>
      <w:lang w:val="ru-RU" w:bidi="ar-SA" w:eastAsia="en-US"/>
    </w:rPr>
  </w:style>
  <w:style w:type="character" w:styleId="377">
    <w:name w:val="Гиперссылка"/>
    <w:next w:val="377"/>
    <w:link w:val="371"/>
    <w:rPr>
      <w:color w:val="0000FF"/>
      <w:u w:val="single"/>
    </w:rPr>
  </w:style>
  <w:style w:type="paragraph" w:styleId="378">
    <w:name w:val="s_1"/>
    <w:basedOn w:val="371"/>
    <w:next w:val="378"/>
    <w:link w:val="371"/>
    <w:rPr>
      <w:rFonts w:eastAsia="SimSun"/>
      <w:lang w:eastAsia="zh-CN"/>
    </w:rPr>
    <w:pPr>
      <w:spacing w:after="100" w:afterAutospacing="1" w:before="100" w:beforeAutospacing="1"/>
    </w:pPr>
  </w:style>
  <w:style w:type="character" w:styleId="379">
    <w:name w:val="Выделение"/>
    <w:basedOn w:val="372"/>
    <w:next w:val="379"/>
    <w:link w:val="371"/>
    <w:rPr>
      <w:i/>
      <w:iCs/>
    </w:rPr>
  </w:style>
  <w:style w:type="paragraph" w:styleId="380">
    <w:name w:val=" Знак Знак Знак Знак"/>
    <w:basedOn w:val="371"/>
    <w:next w:val="380"/>
    <w:link w:val="372"/>
    <w:rPr>
      <w:b/>
      <w:i/>
      <w:sz w:val="28"/>
      <w:szCs w:val="20"/>
      <w:lang w:val="en-GB"/>
    </w:rPr>
    <w:pPr>
      <w:ind w:left="1315" w:hanging="180"/>
      <w:jc w:val="center"/>
      <w:spacing w:lineRule="exact" w:line="240" w:after="160"/>
      <w:widowControl w:val="off"/>
      <w:tabs>
        <w:tab w:val="num" w:pos="1315" w:leader="none"/>
      </w:tabs>
    </w:pPr>
  </w:style>
  <w:style w:type="character" w:styleId="704" w:default="1">
    <w:name w:val="Default Paragraph Font"/>
    <w:uiPriority w:val="1"/>
    <w:semiHidden/>
    <w:unhideWhenUsed/>
  </w:style>
  <w:style w:type="numbering" w:styleId="705" w:default="1">
    <w:name w:val="No List"/>
    <w:uiPriority w:val="99"/>
    <w:semiHidden/>
    <w:unhideWhenUsed/>
  </w:style>
  <w:style w:type="paragraph" w:styleId="706" w:default="1">
    <w:name w:val="Normal"/>
    <w:qFormat/>
  </w:style>
  <w:style w:type="table" w:styleId="70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header" Target="header1.xml" /><Relationship Id="rId8" Type="http://schemas.openxmlformats.org/officeDocument/2006/relationships/image" Target="media/image1.jpg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/>
        <a:solidFill/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Р7-Офис/5.5.4.20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2021-03-23T06:11:05Z</dcterms:modified>
</cp:coreProperties>
</file>