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31"/>
        <w:jc w:val="right"/>
        <w:rPr>
          <w:rFonts w:ascii="Times New Roman" w:hAnsi="Times New Roman" w:cs="Times New Roman" w:eastAsia="SimSun"/>
          <w:sz w:val="28"/>
          <w:szCs w:val="28"/>
        </w:rPr>
      </w:pPr>
      <w:r>
        <w:rPr>
          <w:rFonts w:ascii="Times New Roman" w:hAnsi="Times New Roman" w:cs="Times New Roman" w:eastAsia="SimSun"/>
          <w:sz w:val="28"/>
          <w:szCs w:val="28"/>
        </w:rPr>
        <w:t xml:space="preserve">И.о. п</w:t>
      </w:r>
      <w:r>
        <w:rPr>
          <w:rFonts w:ascii="Times New Roman" w:hAnsi="Times New Roman" w:cs="Times New Roman" w:eastAsia="SimSun"/>
          <w:sz w:val="28"/>
          <w:szCs w:val="28"/>
        </w:rPr>
        <w:t xml:space="preserve">редседател</w:t>
      </w:r>
      <w:r>
        <w:rPr>
          <w:rFonts w:ascii="Times New Roman" w:hAnsi="Times New Roman" w:cs="Times New Roman" w:eastAsia="SimSun"/>
          <w:sz w:val="28"/>
          <w:szCs w:val="28"/>
        </w:rPr>
        <w:t xml:space="preserve">я</w:t>
      </w:r>
      <w:r>
        <w:rPr>
          <w:rFonts w:ascii="Times New Roman" w:hAnsi="Times New Roman" w:cs="Times New Roman" w:eastAsia="SimSun"/>
          <w:sz w:val="28"/>
          <w:szCs w:val="28"/>
        </w:rPr>
      </w:r>
      <w:r/>
    </w:p>
    <w:p>
      <w:pPr>
        <w:pStyle w:val="3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 w:eastAsia="SimSun"/>
          <w:sz w:val="28"/>
          <w:szCs w:val="28"/>
        </w:rPr>
        <w:t xml:space="preserve"> Комитета по делам архивов </w:t>
      </w:r>
      <w:r/>
    </w:p>
    <w:p>
      <w:pPr>
        <w:pStyle w:val="3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 w:eastAsia="SimSun"/>
          <w:sz w:val="28"/>
          <w:szCs w:val="28"/>
        </w:rPr>
        <w:t xml:space="preserve">Пензенской области                                                        </w:t>
      </w:r>
      <w:r/>
    </w:p>
    <w:p>
      <w:pPr>
        <w:pStyle w:val="3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 w:eastAsia="SimSun"/>
          <w:sz w:val="28"/>
          <w:szCs w:val="28"/>
        </w:rPr>
        <w:t xml:space="preserve">______________</w:t>
      </w:r>
      <w:r>
        <w:rPr>
          <w:rFonts w:ascii="Times New Roman" w:hAnsi="Times New Roman" w:cs="Times New Roman" w:eastAsia="SimSun"/>
          <w:sz w:val="28"/>
          <w:szCs w:val="28"/>
        </w:rPr>
        <w:t xml:space="preserve">Т.И. </w:t>
      </w:r>
      <w:r>
        <w:rPr>
          <w:rFonts w:ascii="Times New Roman" w:hAnsi="Times New Roman" w:cs="Times New Roman" w:eastAsia="SimSun"/>
          <w:sz w:val="28"/>
          <w:szCs w:val="28"/>
        </w:rPr>
        <w:t xml:space="preserve">Зеленова</w:t>
      </w:r>
      <w:r/>
    </w:p>
    <w:p>
      <w:pPr>
        <w:jc w:val="right"/>
        <w:spacing w:lineRule="auto" w:line="240" w:after="0"/>
        <w:rPr>
          <w:rFonts w:ascii="Times New Roman" w:hAnsi="Times New Roman" w:cs="Times New Roman" w:eastAsia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 w:eastAsia="SimSun"/>
          <w:sz w:val="28"/>
          <w:szCs w:val="28"/>
        </w:rPr>
        <w:t xml:space="preserve">«10» февраля 2021год</w:t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  <w:t xml:space="preserve">Информация </w:t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  <w:t xml:space="preserve">о </w:t>
      </w: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  <w:t xml:space="preserve"> результа</w:t>
      </w: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  <w:t xml:space="preserve">тах оценки результативности и эффективности контрольно - надзорной</w:t>
      </w: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  <w:t xml:space="preserve"> деятельности</w:t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  <w:t xml:space="preserve">Комитета по делам архивов Пензенской области</w:t>
      </w:r>
      <w:r/>
    </w:p>
    <w:p>
      <w:pPr>
        <w:pStyle w:val="395"/>
      </w:pPr>
      <w:r/>
      <w:r/>
    </w:p>
    <w:p>
      <w:pPr>
        <w:pStyle w:val="395"/>
      </w:pPr>
      <w:r/>
      <w:r/>
    </w:p>
    <w:p>
      <w:pPr>
        <w:pStyle w:val="400"/>
        <w:numPr>
          <w:ilvl w:val="0"/>
          <w:numId w:val="1"/>
        </w:numPr>
        <w:spacing w:lineRule="auto" w:line="240" w:after="0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Комитет по делам архивов Пензенской области (далее-Комитет)</w:t>
      </w:r>
      <w:r/>
    </w:p>
    <w:p>
      <w:pPr>
        <w:pStyle w:val="399"/>
        <w:ind w:left="283" w:right="0" w:hanging="283"/>
        <w:jc w:val="both"/>
        <w:rPr>
          <w:color w:val="auto"/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 xml:space="preserve">     - Осуществление регионального государственного контроля </w:t>
      </w:r>
      <w:r>
        <w:rPr>
          <w:bCs/>
          <w:color w:val="auto"/>
          <w:sz w:val="28"/>
          <w:szCs w:val="28"/>
        </w:rPr>
        <w:t xml:space="preserve">за соблюдением законодательства об архивном деле в      пределах компетенции, определенной законодательством Российской Федерации и законодательством</w:t>
      </w:r>
      <w:r>
        <w:rPr>
          <w:bCs/>
          <w:color w:val="auto"/>
          <w:sz w:val="28"/>
          <w:szCs w:val="28"/>
        </w:rPr>
        <w:t xml:space="preserve"> </w:t>
      </w:r>
      <w:r/>
    </w:p>
    <w:p>
      <w:pPr>
        <w:spacing w:lineRule="auto" w:line="240"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Пензенской области</w:t>
      </w:r>
      <w:r/>
    </w:p>
    <w:p>
      <w:pPr>
        <w:pStyle w:val="400"/>
        <w:numPr>
          <w:ilvl w:val="0"/>
          <w:numId w:val="2"/>
        </w:numPr>
        <w:ind w:left="283" w:right="0" w:firstLine="65"/>
        <w:spacing w:lineRule="auto" w:line="240" w:after="0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Осуществление деятельности юридическими лицами и индивидуальными предпринимателями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Пензенской области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 в сфере хранения, комплектования, учета и исп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ользования документов Архивного фонда Российской Федерации и других архивных документов с нарушением обязательных требований, установленных законами и иными нормативными правовыми актами Российской Федерации, законами и иными нормативными правовыми актами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Пензенской области</w:t>
      </w:r>
      <w:r/>
    </w:p>
    <w:p>
      <w:pPr>
        <w:pStyle w:val="400"/>
        <w:numPr>
          <w:ilvl w:val="0"/>
          <w:numId w:val="2"/>
        </w:numPr>
        <w:ind w:left="283" w:right="0" w:firstLine="65"/>
        <w:spacing w:lineRule="auto" w:line="240" w:after="0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Минимизация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объема утраты документов Архивного фонда Российской Федерации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 и других архивных документов, а также на достижение оптимального распределение трудовых, материальных и финансовых ресурсов и минимизацию неоправданного вмешательства контрольно-надзорных органов в деятельн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ость подконтрольных субъектов</w:t>
      </w:r>
      <w:r/>
    </w:p>
    <w:p>
      <w:pPr>
        <w:spacing w:lineRule="auto" w:line="240" w:after="0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</w:p>
    <w:p>
      <w:pPr>
        <w:spacing w:lineRule="auto" w:line="240" w:after="0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</w:p>
    <w:p>
      <w:pPr>
        <w:spacing w:lineRule="auto" w:line="240" w:after="0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</w:p>
    <w:tbl>
      <w:tblPr>
        <w:tblStyle w:val="394"/>
        <w:tblpPr w:horzAnchor="margin" w:tblpXSpec="left" w:vertAnchor="text" w:tblpY="1454" w:leftFromText="180" w:topFromText="0" w:rightFromText="180" w:bottomFromText="0"/>
        <w:tblW w:w="0" w:type="auto"/>
        <w:tblLook w:val="04A0" w:firstRow="1" w:lastRow="0" w:firstColumn="1" w:lastColumn="0" w:noHBand="0" w:noVBand="1"/>
      </w:tblPr>
      <w:tblGrid>
        <w:gridCol w:w="1353"/>
        <w:gridCol w:w="2475"/>
        <w:gridCol w:w="3002"/>
        <w:gridCol w:w="1913"/>
        <w:gridCol w:w="1354"/>
        <w:gridCol w:w="1481"/>
        <w:gridCol w:w="992"/>
        <w:gridCol w:w="2216"/>
      </w:tblGrid>
      <w:tr>
        <w:trPr/>
        <w:tc>
          <w:tcPr>
            <w:tcW w:w="13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Номер</w:t>
            </w:r>
            <w:r/>
          </w:p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(индекс) показателя</w:t>
            </w:r>
            <w:r/>
          </w:p>
        </w:tc>
        <w:tc>
          <w:tcPr>
            <w:tcW w:w="24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показателя</w:t>
            </w:r>
            <w:r/>
          </w:p>
        </w:tc>
        <w:tc>
          <w:tcPr>
            <w:tcW w:w="300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Формула расчёта</w:t>
            </w:r>
            <w:r/>
          </w:p>
        </w:tc>
        <w:tc>
          <w:tcPr>
            <w:tcW w:w="191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Комментарии (интерпретация значений0</w:t>
            </w:r>
            <w:r/>
          </w:p>
        </w:tc>
        <w:tc>
          <w:tcPr>
            <w:tcW w:w="135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Значение показателя (текущее)</w:t>
            </w:r>
            <w:r/>
          </w:p>
        </w:tc>
        <w:tc>
          <w:tcPr>
            <w:tcW w:w="148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Целевые значения показателей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Оценка в баллах</w:t>
            </w:r>
            <w:r/>
          </w:p>
        </w:tc>
        <w:tc>
          <w:tcPr>
            <w:tcW w:w="221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Источник данных для определения значения показателя</w:t>
            </w:r>
            <w:r/>
          </w:p>
        </w:tc>
      </w:tr>
      <w:tr>
        <w:trPr/>
        <w:tc>
          <w:tcPr>
            <w:gridSpan w:val="8"/>
            <w:tcW w:w="1478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Ключевые показатели</w:t>
            </w:r>
            <w:r>
              <w:rPr>
                <w:rFonts w:ascii="Times New Roman" w:hAnsi="Times New Roman" w:cs="Times New Roman"/>
                <w:sz w:val="28"/>
                <w:szCs w:val="26"/>
              </w:rPr>
            </w:r>
          </w:p>
        </w:tc>
      </w:tr>
      <w:tr>
        <w:trPr/>
        <w:tc>
          <w:tcPr>
            <w:tcW w:w="135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А</w:t>
            </w:r>
            <w:r>
              <w:rPr>
                <w:rFonts w:ascii="Times New Roman" w:hAnsi="Times New Roman" w:cs="Times New Roman"/>
                <w:sz w:val="28"/>
                <w:szCs w:val="26"/>
              </w:rPr>
            </w:r>
          </w:p>
        </w:tc>
        <w:tc>
          <w:tcPr>
            <w:gridSpan w:val="7"/>
            <w:tcW w:w="1343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Показатели результативности, отражающие уровень безопасности охраняемых законом ценностей, выражающийся в минимизации причинения им вреда (ущерба)</w:t>
            </w:r>
            <w:r>
              <w:rPr>
                <w:rFonts w:ascii="Times New Roman" w:hAnsi="Times New Roman" w:cs="Times New Roman"/>
                <w:sz w:val="28"/>
                <w:szCs w:val="26"/>
              </w:rPr>
            </w:r>
          </w:p>
        </w:tc>
      </w:tr>
      <w:tr>
        <w:trPr/>
        <w:tc>
          <w:tcPr>
            <w:tcW w:w="1353" w:type="dxa"/>
            <w:vAlign w:val="center"/>
            <w:textDirection w:val="lrTb"/>
            <w:noWrap w:val="false"/>
          </w:tcPr>
          <w:p>
            <w:pPr>
              <w:jc w:val="center"/>
              <w:spacing w:after="100" w:afterAutospacing="1" w:before="100" w:beforeAutospacing="1"/>
              <w:rPr>
                <w:rFonts w:ascii="Times New Roman" w:hAnsi="Times New Roman" w:eastAsia="Times New Roman"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А.3</w:t>
            </w:r>
            <w:r>
              <w:rPr>
                <w:sz w:val="26"/>
              </w:rPr>
            </w:r>
          </w:p>
        </w:tc>
        <w:tc>
          <w:tcPr>
            <w:tcW w:w="2475" w:type="dxa"/>
            <w:vAlign w:val="center"/>
            <w:textDirection w:val="lrTb"/>
            <w:noWrap w:val="false"/>
          </w:tcPr>
          <w:p>
            <w:pPr>
              <w:jc w:val="center"/>
              <w:spacing w:after="100" w:afterAutospacing="1" w:before="100" w:beforeAutospacing="1"/>
              <w:rPr>
                <w:rFonts w:ascii="Times New Roman" w:hAnsi="Times New Roman" w:eastAsia="Times New Roman"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Доля документов Архивного фонда Российской Федерации и документов по личному составу, утраченных (неисправимо поврежденных) на стадии ведомственного хранения</w:t>
            </w:r>
            <w:r>
              <w:rPr>
                <w:sz w:val="26"/>
              </w:rPr>
            </w:r>
          </w:p>
        </w:tc>
        <w:tc>
          <w:tcPr>
            <w:tcW w:w="3002" w:type="dxa"/>
            <w:vAlign w:val="center"/>
            <w:textDirection w:val="lrTb"/>
            <w:noWrap w:val="false"/>
          </w:tcPr>
          <w:p>
            <w:pPr>
              <w:jc w:val="center"/>
              <w:spacing w:after="100" w:afterAutospacing="1" w:before="100" w:beforeAutospacing="1"/>
              <w:rPr>
                <w:rFonts w:ascii="Times New Roman" w:hAnsi="Times New Roman" w:eastAsia="Times New Roman"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Кутр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 + 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Кн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/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)х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100%</w:t>
            </w:r>
            <w:r>
              <w:rPr>
                <w:sz w:val="26"/>
              </w:rPr>
            </w:r>
          </w:p>
          <w:p>
            <w:pPr>
              <w:jc w:val="center"/>
              <w:spacing w:after="100" w:afterAutospacing="1" w:before="100" w:beforeAutospacing="1"/>
              <w:rPr>
                <w:rFonts w:ascii="Times New Roman" w:hAnsi="Times New Roman" w:eastAsia="Times New Roman"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Кп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 + Кл/с</w:t>
            </w:r>
            <w:r>
              <w:rPr>
                <w:sz w:val="26"/>
              </w:rPr>
            </w:r>
          </w:p>
        </w:tc>
        <w:tc>
          <w:tcPr>
            <w:tcW w:w="1913" w:type="dxa"/>
            <w:vAlign w:val="center"/>
            <w:textDirection w:val="lrTb"/>
            <w:noWrap w:val="false"/>
          </w:tcPr>
          <w:p>
            <w:pPr>
              <w:spacing w:after="100" w:afterAutospacing="1" w:before="100" w:beforeAutospacing="1"/>
              <w:rPr>
                <w:rFonts w:ascii="Times New Roman" w:hAnsi="Times New Roman" w:eastAsia="Times New Roman"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Кутр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 – количество выявленных утраченных документов Архивного фонда Российской Федерации и документов по личному составу;</w:t>
            </w:r>
            <w:r>
              <w:rPr>
                <w:sz w:val="26"/>
              </w:rPr>
            </w:r>
          </w:p>
          <w:p>
            <w:pPr>
              <w:spacing w:after="100" w:afterAutospacing="1" w:before="100" w:beforeAutospacing="1"/>
              <w:rPr>
                <w:rFonts w:ascii="Times New Roman" w:hAnsi="Times New Roman" w:eastAsia="Times New Roman"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Кн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/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 - количество выявленных неисправимо поврежденных документов Архивного 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фонда Российской Федерации и документов по личному составу;</w:t>
            </w:r>
            <w:r>
              <w:rPr>
                <w:sz w:val="26"/>
              </w:rPr>
            </w:r>
          </w:p>
          <w:p>
            <w:pPr>
              <w:spacing w:after="100" w:afterAutospacing="1" w:before="100" w:beforeAutospacing="1"/>
              <w:rPr>
                <w:rFonts w:ascii="Times New Roman" w:hAnsi="Times New Roman" w:eastAsia="Times New Roman"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Кп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 – количество дел постоянного срока хранения, </w:t>
            </w:r>
            <w:r>
              <w:rPr>
                <w:sz w:val="26"/>
              </w:rPr>
            </w:r>
          </w:p>
          <w:p>
            <w:pPr>
              <w:spacing w:after="100" w:afterAutospacing="1" w:before="100" w:beforeAutospacing="1"/>
              <w:rPr>
                <w:rFonts w:ascii="Times New Roman" w:hAnsi="Times New Roman" w:eastAsia="Times New Roman"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Кл/с – количество дел по личному составу, внесенных в утвержденные, согласованные Экспертно-проверочной комиссией 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Комитета (далее – ЭП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К) описи дел 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(количество дел, подлежащих включению в описи дел постоянного хранения и по личному составу)</w:t>
            </w:r>
            <w:r>
              <w:rPr>
                <w:sz w:val="26"/>
              </w:rPr>
            </w:r>
          </w:p>
        </w:tc>
        <w:tc>
          <w:tcPr>
            <w:tcW w:w="135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0</w:t>
            </w:r>
            <w:r>
              <w:rPr>
                <w:sz w:val="26"/>
              </w:rPr>
            </w:r>
          </w:p>
        </w:tc>
        <w:tc>
          <w:tcPr>
            <w:tcW w:w="148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0</w:t>
            </w:r>
            <w:r>
              <w:rPr>
                <w:sz w:val="26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3 балла</w:t>
            </w:r>
            <w:r>
              <w:rPr>
                <w:sz w:val="26"/>
              </w:rPr>
            </w:r>
          </w:p>
        </w:tc>
        <w:tc>
          <w:tcPr>
            <w:tcW w:w="2216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Перечень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br/>
              <w:t xml:space="preserve">типовых управленческих архивных документов, 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br/>
              <w:t xml:space="preserve">образующихся в процессе деятельности государственных органов, 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br/>
              <w:t xml:space="preserve">органов местного самоуправления и организаций,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br/>
              <w:t xml:space="preserve">с указанием сроков хранения, утвержденный приказом Министерства 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культуры</w:t>
            </w:r>
            <w:r>
              <w:rPr>
                <w:sz w:val="26"/>
              </w:rPr>
            </w:r>
          </w:p>
          <w:p>
            <w:pPr>
              <w:rPr>
                <w:rFonts w:ascii="Times New Roman" w:hAnsi="Times New Roman" w:eastAsia="Times New Roman"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Российской Федерации</w:t>
            </w:r>
            <w:r>
              <w:rPr>
                <w:sz w:val="26"/>
              </w:rPr>
            </w:r>
          </w:p>
          <w:p>
            <w:pPr>
              <w:rPr>
                <w:rFonts w:ascii="Times New Roman" w:hAnsi="Times New Roman" w:eastAsia="Times New Roman"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от 25 августа 2010 г. № 558;</w:t>
            </w:r>
            <w:r>
              <w:rPr>
                <w:sz w:val="26"/>
              </w:rPr>
            </w:r>
          </w:p>
          <w:p>
            <w:pPr>
              <w:spacing w:after="100" w:afterAutospacing="1" w:before="100" w:beforeAutospacing="1"/>
              <w:rPr>
                <w:rFonts w:ascii="Times New Roman" w:hAnsi="Times New Roman" w:eastAsia="Times New Roman"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номен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клатура дел, согласованная с ЭП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К;</w:t>
            </w:r>
            <w:r>
              <w:rPr>
                <w:sz w:val="26"/>
              </w:rPr>
            </w:r>
          </w:p>
          <w:p>
            <w:pPr>
              <w:rPr>
                <w:sz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акт по итогам проверки; акт о 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необнаружении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 документов, пути розыска которых исчерпаны; акт о неисправимых повреждениях документов</w:t>
            </w:r>
            <w:r>
              <w:rPr>
                <w:sz w:val="26"/>
              </w:rPr>
            </w:r>
          </w:p>
        </w:tc>
      </w:tr>
      <w:tr>
        <w:trPr/>
        <w:tc>
          <w:tcPr>
            <w:gridSpan w:val="8"/>
            <w:tcW w:w="14786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Индикативные показатели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</w:r>
          </w:p>
        </w:tc>
      </w:tr>
      <w:tr>
        <w:trPr/>
        <w:tc>
          <w:tcPr>
            <w:tcW w:w="135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100" w:afterAutospacing="1" w:before="100" w:beforeAutospacing="1"/>
              <w:rPr>
                <w:rFonts w:ascii="Times New Roman" w:hAnsi="Times New Roman" w:eastAsia="Times New Roman"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</w:r>
          </w:p>
        </w:tc>
        <w:tc>
          <w:tcPr>
            <w:gridSpan w:val="7"/>
            <w:tcW w:w="13433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Индикативные показатели, характеризующие различные аспекты контрольно-надзорной деятельности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</w:r>
          </w:p>
        </w:tc>
      </w:tr>
      <w:tr>
        <w:trPr/>
        <w:tc>
          <w:tcPr>
            <w:tcW w:w="1353" w:type="dxa"/>
            <w:vAlign w:val="center"/>
            <w:textDirection w:val="lrTb"/>
            <w:noWrap w:val="false"/>
          </w:tcPr>
          <w:p>
            <w:pPr>
              <w:jc w:val="center"/>
              <w:spacing w:after="100" w:afterAutospacing="1" w:before="100" w:beforeAutospacing="1"/>
              <w:rPr>
                <w:rFonts w:ascii="Times New Roman" w:hAnsi="Times New Roman" w:eastAsia="Times New Roman"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В.2.5</w:t>
            </w:r>
            <w:r>
              <w:rPr>
                <w:sz w:val="26"/>
              </w:rPr>
            </w:r>
          </w:p>
        </w:tc>
        <w:tc>
          <w:tcPr>
            <w:tcW w:w="2475" w:type="dxa"/>
            <w:vAlign w:val="center"/>
            <w:textDirection w:val="lrTb"/>
            <w:noWrap w:val="false"/>
          </w:tcPr>
          <w:p>
            <w:pPr>
              <w:jc w:val="center"/>
              <w:spacing w:after="100" w:afterAutospacing="1" w:before="100" w:beforeAutospacing="1"/>
              <w:rPr>
                <w:rFonts w:ascii="Times New Roman" w:hAnsi="Times New Roman" w:eastAsia="Times New Roman"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Доля юридических лиц, индивидуальных предпринимателей, у которых были устранены нарушения, выявленные в результате проведения контрольно-надзорных мероприятий</w:t>
            </w:r>
            <w:r>
              <w:rPr>
                <w:sz w:val="26"/>
              </w:rPr>
            </w:r>
          </w:p>
        </w:tc>
        <w:tc>
          <w:tcPr>
            <w:tcW w:w="3002" w:type="dxa"/>
            <w:vAlign w:val="center"/>
            <w:textDirection w:val="lrTb"/>
            <w:noWrap w:val="false"/>
          </w:tcPr>
          <w:p>
            <w:pPr>
              <w:jc w:val="center"/>
              <w:spacing w:after="100" w:afterAutospacing="1" w:before="100" w:beforeAutospacing="1"/>
              <w:rPr>
                <w:rFonts w:ascii="Times New Roman" w:hAnsi="Times New Roman" w:eastAsia="Times New Roman"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Отношение количества юридических лиц, индивидуальных предпринимателей, у котор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ых были устранены нарушения, выявленные в результате проведения контрольно-надзорных мероприятий к общему количеству юридических лиц, индивидуальных предпринимателей, у которых были выявлены нарушения в ходе проведения контрольно-надзорных мероприятий *100</w:t>
            </w:r>
            <w:r>
              <w:rPr>
                <w:sz w:val="26"/>
              </w:rPr>
            </w:r>
          </w:p>
        </w:tc>
        <w:tc>
          <w:tcPr>
            <w:tcW w:w="191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%</w:t>
            </w:r>
            <w:r>
              <w:rPr>
                <w:sz w:val="26"/>
              </w:rPr>
            </w:r>
          </w:p>
        </w:tc>
        <w:tc>
          <w:tcPr>
            <w:tcW w:w="135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51%</w:t>
            </w:r>
            <w:r>
              <w:rPr>
                <w:sz w:val="26"/>
              </w:rPr>
            </w:r>
          </w:p>
        </w:tc>
        <w:tc>
          <w:tcPr>
            <w:tcW w:w="148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100</w:t>
            </w:r>
            <w:r>
              <w:rPr>
                <w:sz w:val="26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0 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балл</w:t>
            </w:r>
            <w:r>
              <w:rPr>
                <w:sz w:val="26"/>
              </w:rPr>
            </w:r>
          </w:p>
        </w:tc>
        <w:tc>
          <w:tcPr>
            <w:tcW w:w="2216" w:type="dxa"/>
            <w:textDirection w:val="lrTb"/>
            <w:noWrap w:val="false"/>
          </w:tcPr>
          <w:p>
            <w:pPr>
              <w:rPr>
                <w:sz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Предписание об устранении нарушений</w:t>
            </w:r>
            <w:r>
              <w:rPr>
                <w:sz w:val="26"/>
              </w:rPr>
            </w:r>
          </w:p>
          <w:p>
            <w:pPr>
              <w:jc w:val="center"/>
              <w:rPr>
                <w:sz w:val="26"/>
              </w:rPr>
            </w:pPr>
            <w:r>
              <w:rPr>
                <w:sz w:val="26"/>
              </w:rPr>
            </w:r>
            <w:r>
              <w:rPr>
                <w:sz w:val="26"/>
              </w:rPr>
            </w:r>
          </w:p>
        </w:tc>
      </w:tr>
      <w:tr>
        <w:trPr/>
        <w:tc>
          <w:tcPr>
            <w:tcW w:w="1353" w:type="dxa"/>
            <w:vAlign w:val="center"/>
            <w:textDirection w:val="lrTb"/>
            <w:noWrap w:val="false"/>
          </w:tcPr>
          <w:p>
            <w:pPr>
              <w:jc w:val="center"/>
              <w:spacing w:after="100" w:afterAutospacing="1" w:before="100" w:beforeAutospacing="1"/>
              <w:rPr>
                <w:rFonts w:ascii="Times New Roman" w:hAnsi="Times New Roman" w:eastAsia="Times New Roman"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В.3.1.1</w:t>
            </w:r>
            <w:r>
              <w:rPr>
                <w:sz w:val="26"/>
              </w:rPr>
            </w:r>
          </w:p>
        </w:tc>
        <w:tc>
          <w:tcPr>
            <w:tcW w:w="2475" w:type="dxa"/>
            <w:vAlign w:val="center"/>
            <w:textDirection w:val="lrTb"/>
            <w:noWrap w:val="false"/>
          </w:tcPr>
          <w:p>
            <w:pPr>
              <w:spacing w:after="100" w:afterAutospacing="1" w:before="100" w:beforeAutospacing="1"/>
              <w:rPr>
                <w:rFonts w:ascii="Times New Roman" w:hAnsi="Times New Roman" w:eastAsia="Times New Roman"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Выполнение плана проведения проверок</w:t>
            </w:r>
            <w:r>
              <w:rPr>
                <w:sz w:val="26"/>
              </w:rPr>
            </w:r>
          </w:p>
        </w:tc>
        <w:tc>
          <w:tcPr>
            <w:tcW w:w="3002" w:type="dxa"/>
            <w:vAlign w:val="center"/>
            <w:textDirection w:val="lrTb"/>
            <w:noWrap w:val="false"/>
          </w:tcPr>
          <w:p>
            <w:pPr>
              <w:jc w:val="center"/>
              <w:spacing w:after="100" w:afterAutospacing="1" w:before="100" w:beforeAutospacing="1"/>
              <w:rPr>
                <w:rFonts w:ascii="Times New Roman" w:hAnsi="Times New Roman" w:eastAsia="Times New Roman"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Отношение количества проведенных плановых проверок к количеству предусмотренных ежегодным планом проведения проверок на отчетный период *100</w:t>
            </w:r>
            <w:r>
              <w:rPr>
                <w:sz w:val="26"/>
              </w:rPr>
            </w:r>
          </w:p>
        </w:tc>
        <w:tc>
          <w:tcPr>
            <w:tcW w:w="1913" w:type="dxa"/>
            <w:textDirection w:val="lrTb"/>
            <w:noWrap w:val="false"/>
          </w:tcPr>
          <w:p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%</w:t>
            </w:r>
            <w:r>
              <w:rPr>
                <w:sz w:val="26"/>
              </w:rPr>
            </w:r>
          </w:p>
        </w:tc>
        <w:tc>
          <w:tcPr>
            <w:tcW w:w="135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100%</w:t>
            </w:r>
            <w:r>
              <w:rPr>
                <w:sz w:val="26"/>
              </w:rPr>
            </w:r>
          </w:p>
        </w:tc>
        <w:tc>
          <w:tcPr>
            <w:tcW w:w="148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100</w:t>
            </w:r>
            <w:r>
              <w:rPr>
                <w:sz w:val="26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3 балла</w:t>
            </w:r>
            <w:r>
              <w:rPr>
                <w:sz w:val="26"/>
              </w:rPr>
            </w:r>
          </w:p>
        </w:tc>
        <w:tc>
          <w:tcPr>
            <w:tcW w:w="2216" w:type="dxa"/>
            <w:textDirection w:val="lrTb"/>
            <w:noWrap w:val="false"/>
          </w:tcPr>
          <w:p>
            <w:pPr>
              <w:rPr>
                <w:sz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Форма федерального статистического наблюдения № 1-контроль «Сведения об осуществлении государственного контроля (надзора) и муниципального контроля»</w:t>
            </w:r>
            <w:r>
              <w:rPr>
                <w:sz w:val="26"/>
              </w:rPr>
            </w:r>
          </w:p>
          <w:p>
            <w:pPr>
              <w:jc w:val="center"/>
              <w:rPr>
                <w:sz w:val="26"/>
              </w:rPr>
            </w:pPr>
            <w:r>
              <w:rPr>
                <w:sz w:val="26"/>
              </w:rPr>
            </w:r>
            <w:r>
              <w:rPr>
                <w:sz w:val="26"/>
              </w:rPr>
            </w:r>
          </w:p>
        </w:tc>
      </w:tr>
      <w:tr>
        <w:trPr/>
        <w:tc>
          <w:tcPr>
            <w:tcW w:w="1353" w:type="dxa"/>
            <w:vAlign w:val="center"/>
            <w:textDirection w:val="lrTb"/>
            <w:noWrap w:val="false"/>
          </w:tcPr>
          <w:p>
            <w:pPr>
              <w:jc w:val="center"/>
              <w:spacing w:after="100" w:afterAutospacing="1" w:before="100" w:beforeAutospacing="1"/>
              <w:rPr>
                <w:rFonts w:ascii="Times New Roman" w:hAnsi="Times New Roman" w:eastAsia="Times New Roman"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В.3.1.18.</w:t>
            </w:r>
            <w:r>
              <w:rPr>
                <w:sz w:val="26"/>
              </w:rPr>
            </w:r>
          </w:p>
        </w:tc>
        <w:tc>
          <w:tcPr>
            <w:tcW w:w="2475" w:type="dxa"/>
            <w:vAlign w:val="center"/>
            <w:textDirection w:val="lrTb"/>
            <w:noWrap w:val="false"/>
          </w:tcPr>
          <w:p>
            <w:pPr>
              <w:spacing w:after="100" w:afterAutospacing="1" w:before="100" w:beforeAutospacing="1"/>
              <w:rPr>
                <w:rFonts w:ascii="Times New Roman" w:hAnsi="Times New Roman" w:eastAsia="Times New Roman"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Доля проверок, на результаты которых поданы жалобы</w:t>
            </w:r>
            <w:r>
              <w:rPr>
                <w:sz w:val="26"/>
              </w:rPr>
            </w:r>
          </w:p>
        </w:tc>
        <w:tc>
          <w:tcPr>
            <w:tcW w:w="3002" w:type="dxa"/>
            <w:vAlign w:val="center"/>
            <w:textDirection w:val="lrTb"/>
            <w:noWrap w:val="false"/>
          </w:tcPr>
          <w:p>
            <w:pPr>
              <w:jc w:val="center"/>
              <w:spacing w:after="100" w:afterAutospacing="1" w:before="100" w:beforeAutospacing="1"/>
              <w:rPr>
                <w:rFonts w:ascii="Times New Roman" w:hAnsi="Times New Roman" w:eastAsia="Times New Roman"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Отнош</w:t>
            </w:r>
            <w:bookmarkStart w:id="0" w:name="_GoBack"/>
            <w:r>
              <w:rPr>
                <w:sz w:val="26"/>
              </w:rPr>
            </w:r>
            <w:bookmarkEnd w:id="0"/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ение общего количества плановых и внеплановых проверок к количеству проверок, на результаты которых поданы жалобы*100</w:t>
            </w:r>
            <w:r>
              <w:rPr>
                <w:sz w:val="26"/>
              </w:rPr>
            </w:r>
          </w:p>
        </w:tc>
        <w:tc>
          <w:tcPr>
            <w:tcW w:w="191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%</w:t>
            </w:r>
            <w:r>
              <w:rPr>
                <w:sz w:val="26"/>
              </w:rPr>
            </w:r>
          </w:p>
        </w:tc>
        <w:tc>
          <w:tcPr>
            <w:tcW w:w="135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0</w:t>
            </w:r>
            <w:r>
              <w:rPr>
                <w:sz w:val="26"/>
              </w:rPr>
            </w:r>
          </w:p>
        </w:tc>
        <w:tc>
          <w:tcPr>
            <w:tcW w:w="148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0</w:t>
            </w:r>
            <w:r>
              <w:rPr>
                <w:sz w:val="26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3 балла</w:t>
            </w:r>
            <w:r>
              <w:rPr>
                <w:sz w:val="26"/>
              </w:rPr>
            </w:r>
          </w:p>
        </w:tc>
        <w:tc>
          <w:tcPr>
            <w:tcW w:w="2216" w:type="dxa"/>
            <w:textDirection w:val="lrTb"/>
            <w:noWrap w:val="false"/>
          </w:tcPr>
          <w:p>
            <w:pPr>
              <w:rPr>
                <w:sz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Форма федерального статистического наблюдения № 1-контроль «Сведения об осуществлении государственного контроля (надзора) и муниципального контроля»</w:t>
            </w:r>
            <w:r>
              <w:rPr>
                <w:sz w:val="26"/>
              </w:rPr>
            </w:r>
          </w:p>
        </w:tc>
      </w:tr>
      <w:tr>
        <w:trPr/>
        <w:tc>
          <w:tcPr>
            <w:tcW w:w="1353" w:type="dxa"/>
            <w:vAlign w:val="center"/>
            <w:textDirection w:val="lrTb"/>
            <w:noWrap w:val="false"/>
          </w:tcPr>
          <w:p>
            <w:pPr>
              <w:jc w:val="center"/>
              <w:spacing w:after="100" w:afterAutospacing="1" w:before="100" w:beforeAutospacing="1"/>
              <w:rPr>
                <w:rFonts w:ascii="Times New Roman" w:hAnsi="Times New Roman" w:eastAsia="Times New Roman"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В.3.1.24</w:t>
            </w:r>
            <w:r>
              <w:rPr>
                <w:sz w:val="26"/>
              </w:rPr>
            </w:r>
          </w:p>
        </w:tc>
        <w:tc>
          <w:tcPr>
            <w:tcW w:w="2475" w:type="dxa"/>
            <w:vAlign w:val="center"/>
            <w:textDirection w:val="lrTb"/>
            <w:noWrap w:val="false"/>
          </w:tcPr>
          <w:p>
            <w:pPr>
              <w:spacing w:after="100" w:afterAutospacing="1" w:before="100" w:beforeAutospacing="1"/>
              <w:rPr>
                <w:rFonts w:ascii="Times New Roman" w:hAnsi="Times New Roman" w:eastAsia="Times New Roman"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Доля проверок, результаты которых были признаны 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недействительными</w:t>
            </w:r>
            <w:r>
              <w:rPr>
                <w:sz w:val="26"/>
              </w:rPr>
            </w:r>
          </w:p>
        </w:tc>
        <w:tc>
          <w:tcPr>
            <w:tcW w:w="3002" w:type="dxa"/>
            <w:vAlign w:val="center"/>
            <w:textDirection w:val="lrTb"/>
            <w:noWrap w:val="false"/>
          </w:tcPr>
          <w:p>
            <w:pPr>
              <w:jc w:val="center"/>
              <w:spacing w:after="100" w:afterAutospacing="1" w:before="100" w:beforeAutospacing="1"/>
              <w:rPr>
                <w:rFonts w:ascii="Times New Roman" w:hAnsi="Times New Roman" w:eastAsia="Times New Roman"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Отношение общего количества плановых и внеплановых проверок к количеству 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проверок, результаты которых были признаны недействительными*100</w:t>
            </w:r>
            <w:r>
              <w:rPr>
                <w:sz w:val="26"/>
              </w:rPr>
            </w:r>
          </w:p>
        </w:tc>
        <w:tc>
          <w:tcPr>
            <w:tcW w:w="191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%</w:t>
            </w:r>
            <w:r>
              <w:rPr>
                <w:sz w:val="26"/>
              </w:rPr>
            </w:r>
          </w:p>
        </w:tc>
        <w:tc>
          <w:tcPr>
            <w:tcW w:w="135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0</w:t>
            </w:r>
            <w:r>
              <w:rPr>
                <w:sz w:val="26"/>
              </w:rPr>
            </w:r>
          </w:p>
        </w:tc>
        <w:tc>
          <w:tcPr>
            <w:tcW w:w="148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0</w:t>
            </w:r>
            <w:r>
              <w:rPr>
                <w:sz w:val="26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3 балла</w:t>
            </w:r>
            <w:r>
              <w:rPr>
                <w:sz w:val="26"/>
              </w:rPr>
            </w:r>
          </w:p>
        </w:tc>
        <w:tc>
          <w:tcPr>
            <w:tcW w:w="2216" w:type="dxa"/>
            <w:textDirection w:val="lrTb"/>
            <w:noWrap w:val="false"/>
          </w:tcPr>
          <w:p>
            <w:pPr>
              <w:rPr>
                <w:sz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Форма федерального статистического наблюдения № 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8"/>
                <w:lang w:eastAsia="ru-RU"/>
              </w:rPr>
              <w:t xml:space="preserve">1-контроль «Сведения об осуществлении государственного контроля (надзора) и муниципального контроля»</w:t>
            </w:r>
            <w:r>
              <w:rPr>
                <w:sz w:val="26"/>
              </w:rPr>
            </w:r>
          </w:p>
        </w:tc>
      </w:tr>
    </w:tbl>
    <w:p>
      <w:pPr>
        <w:spacing w:lineRule="auto" w:line="240" w:after="0"/>
        <w:rPr>
          <w:sz w:val="26"/>
        </w:rPr>
      </w:pPr>
      <w:r>
        <w:rPr>
          <w:sz w:val="26"/>
        </w:rPr>
      </w:r>
      <w:r>
        <w:rPr>
          <w:sz w:val="26"/>
        </w:rPr>
      </w:r>
    </w:p>
    <w:sectPr>
      <w:footnotePr/>
      <w:type w:val="nextPage"/>
      <w:pgSz w:w="16838" w:h="11906" w:orient="landscape"/>
      <w:pgMar w:top="1701" w:right="1134" w:bottom="850" w:left="1134" w:header="708" w:footer="708" w:gutter="0"/>
      <w:cols w:num="1" w:sep="0" w:space="708" w:equalWidth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10600030101010101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decimalSymbol w:val=","/>
  <w:listSeparator w:val=";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/>
        <w:color w:val="auto"/>
        <w:spacing w:val="0"/>
        <w:position w:val="0"/>
        <w:sz w:val="22"/>
        <w:szCs w:val="22"/>
        <w:lang w:val="ru-RU" w:bidi="ar-SA" w:eastAsia="en-US"/>
      </w:rPr>
    </w:rPrDefault>
    <w:pPrDefault>
      <w:pPr>
        <w:ind w:left="0" w:right="0" w:firstLine="0"/>
        <w:jc w:val="left"/>
        <w:spacing w:lineRule="auto" w:line="259" w:after="16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390"/>
    <w:next w:val="390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391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390"/>
    <w:next w:val="390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391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390"/>
    <w:next w:val="390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391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390"/>
    <w:next w:val="390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391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390"/>
    <w:next w:val="390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391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390"/>
    <w:next w:val="390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391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390"/>
    <w:next w:val="390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391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390"/>
    <w:next w:val="390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391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390"/>
    <w:next w:val="390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391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390"/>
    <w:next w:val="390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391"/>
    <w:link w:val="32"/>
    <w:uiPriority w:val="10"/>
    <w:rPr>
      <w:sz w:val="48"/>
      <w:szCs w:val="48"/>
    </w:rPr>
  </w:style>
  <w:style w:type="paragraph" w:styleId="34">
    <w:name w:val="Subtitle"/>
    <w:basedOn w:val="390"/>
    <w:next w:val="390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391"/>
    <w:link w:val="34"/>
    <w:uiPriority w:val="11"/>
    <w:rPr>
      <w:sz w:val="24"/>
      <w:szCs w:val="24"/>
    </w:rPr>
  </w:style>
  <w:style w:type="paragraph" w:styleId="36">
    <w:name w:val="Quote"/>
    <w:basedOn w:val="390"/>
    <w:next w:val="390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390"/>
    <w:next w:val="390"/>
    <w:link w:val="39"/>
    <w:qFormat/>
    <w:uiPriority w:val="30"/>
    <w:rPr>
      <w:i/>
    </w:rPr>
    <w:pPr>
      <w:contextualSpacing w:val="false"/>
      <w:ind w:left="720" w:right="720"/>
      <w:shd w:val="clear" w:color="auto" w:fill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391"/>
    <w:link w:val="395"/>
    <w:uiPriority w:val="99"/>
  </w:style>
  <w:style w:type="character" w:styleId="43">
    <w:name w:val="Footer Char"/>
    <w:basedOn w:val="391"/>
    <w:link w:val="397"/>
    <w:uiPriority w:val="99"/>
  </w:style>
  <w:style w:type="paragraph" w:styleId="44">
    <w:name w:val="Caption"/>
    <w:basedOn w:val="390"/>
    <w:next w:val="390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397"/>
    <w:uiPriority w:val="99"/>
  </w:style>
  <w:style w:type="table" w:styleId="47">
    <w:name w:val="Table Grid Light"/>
    <w:basedOn w:val="392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392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39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39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39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39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39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39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39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39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text1" w:themeFillTint="40"/>
    </w:tblPr>
    <w:tblStylePr w:type="band1Horz">
      <w:tcPr>
        <w:shd w:val="clear" w:color="auto" w:fill="FFFFFF" w:themeFill="text1" w:themeFillTint="75"/>
      </w:tcPr>
    </w:tblStylePr>
    <w:tblStylePr w:type="band1Vert">
      <w:tcPr>
        <w:shd w:val="clear" w:color="auto" w:fill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1" w:themeFillTint="34"/>
    </w:tblPr>
    <w:tblStylePr w:type="band1Horz">
      <w:tcPr>
        <w:shd w:val="clear" w:color="auto" w:fill="FFFFFF" w:themeFill="accent1" w:themeFillTint="75"/>
      </w:tcPr>
    </w:tblStylePr>
    <w:tblStylePr w:type="band1Vert">
      <w:tcPr>
        <w:shd w:val="clear" w:color="auto" w:fill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2" w:themeFillTint="32"/>
    </w:tblPr>
    <w:tblStylePr w:type="band1Horz">
      <w:tcPr>
        <w:shd w:val="clear" w:color="auto" w:fill="FFFFFF" w:themeFill="accent2" w:themeFillTint="75"/>
      </w:tcPr>
    </w:tblStylePr>
    <w:tblStylePr w:type="band1Vert">
      <w:tcPr>
        <w:shd w:val="clear" w:color="auto" w:fill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3" w:themeFillTint="34"/>
    </w:tblPr>
    <w:tblStylePr w:type="band1Horz">
      <w:tcPr>
        <w:shd w:val="clear" w:color="auto" w:fill="FFFFFF" w:themeFill="accent3" w:themeFillTint="75"/>
      </w:tcPr>
    </w:tblStylePr>
    <w:tblStylePr w:type="band1Vert">
      <w:tcPr>
        <w:shd w:val="clear" w:color="auto" w:fill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4" w:themeFillTint="34"/>
    </w:tblPr>
    <w:tblStylePr w:type="band1Horz">
      <w:tcPr>
        <w:shd w:val="clear" w:color="auto" w:fill="FFFFFF" w:themeFill="accent4" w:themeFillTint="75"/>
      </w:tcPr>
    </w:tblStylePr>
    <w:tblStylePr w:type="band1Vert">
      <w:tcPr>
        <w:shd w:val="clear" w:color="auto" w:fill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5" w:themeFillTint="34"/>
    </w:tblPr>
    <w:tblStylePr w:type="band1Horz">
      <w:tcPr>
        <w:shd w:val="clear" w:color="auto" w:fill="FFFFFF" w:themeFill="accent5" w:themeFillTint="75"/>
      </w:tcPr>
    </w:tblStylePr>
    <w:tblStylePr w:type="band1Vert">
      <w:tcPr>
        <w:shd w:val="clear" w:color="auto" w:fill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6" w:themeFillTint="34"/>
    </w:tblPr>
    <w:tblStylePr w:type="band1Horz">
      <w:tcPr>
        <w:shd w:val="clear" w:color="auto" w:fill="FFFFFF" w:themeFill="accent6" w:themeFillTint="75"/>
      </w:tcPr>
    </w:tblStylePr>
    <w:tblStylePr w:type="band1Vert">
      <w:tcPr>
        <w:shd w:val="clear" w:color="auto" w:fill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auto" w:fill="FFFFFF" w:themeFill="text1" w:themeFillTint="34"/>
      </w:tcPr>
    </w:tblStylePr>
    <w:tblStylePr w:type="band1Vert">
      <w:tcPr>
        <w:shd w:val="clear" w:color="auto" w:fill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auto" w:fill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auto" w:fill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auto" w:fill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auto" w:fill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auto" w:fill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auto" w:fill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auto" w:fill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auto" w:fill="FFFFFF" w:themeFill="text1" w:themeFillTint="80"/>
    </w:tblPr>
    <w:tblStylePr w:type="band1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auto" w:fill="FFFFFF" w:themeFill="accent1"/>
    </w:tblPr>
    <w:tblStylePr w:type="band1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auto" w:fill="FFFFFF" w:themeFill="accent2" w:themeFillTint="97"/>
    </w:tblPr>
    <w:tblStylePr w:type="band1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auto" w:fill="FFFFFF" w:themeFill="accent3" w:themeFillTint="98"/>
    </w:tblPr>
    <w:tblStylePr w:type="band1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auto" w:fill="FFFFFF" w:themeFill="accent4" w:themeFillTint="9A"/>
    </w:tblPr>
    <w:tblStylePr w:type="band1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auto" w:fill="FFFFFF" w:themeFill="accent5" w:themeFillTint="9A"/>
    </w:tblPr>
    <w:tblStylePr w:type="band1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auto" w:fill="FFFFFF" w:themeFill="accent6" w:themeFillTint="98"/>
    </w:tblPr>
    <w:tblStylePr w:type="band1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auto" w:fill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auto" w:fill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6">
    <w:name w:val="List Table 7 Colorful - Accent 2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auto" w:fill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7">
    <w:name w:val="List Table 7 Colorful - Accent 3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auto" w:fill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8">
    <w:name w:val="List Table 7 Colorful - Accent 4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auto" w:fill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49">
    <w:name w:val="List Table 7 Colorful - Accent 5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auto" w:fill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0">
    <w:name w:val="List Table 7 Colorful - Accent 6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auto" w:fill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1">
    <w:name w:val="Lined - Accent"/>
    <w:basedOn w:val="39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152">
    <w:name w:val="Lined - Accent 1"/>
    <w:basedOn w:val="39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153">
    <w:name w:val="Lined - Accent 2"/>
    <w:basedOn w:val="39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154">
    <w:name w:val="Lined - Accent 3"/>
    <w:basedOn w:val="39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155">
    <w:name w:val="Lined - Accent 4"/>
    <w:basedOn w:val="39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156">
    <w:name w:val="Lined - Accent 5"/>
    <w:basedOn w:val="39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157">
    <w:name w:val="Lined - Accent 6"/>
    <w:basedOn w:val="39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158">
    <w:name w:val="Bordered &amp; Lined - Accent"/>
    <w:basedOn w:val="39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159">
    <w:name w:val="Bordered &amp; Lined - Accent 1"/>
    <w:basedOn w:val="39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160">
    <w:name w:val="Bordered &amp; Lined - Accent 2"/>
    <w:basedOn w:val="39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161">
    <w:name w:val="Bordered &amp; Lined - Accent 3"/>
    <w:basedOn w:val="39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162">
    <w:name w:val="Bordered &amp; Lined - Accent 4"/>
    <w:basedOn w:val="39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163">
    <w:name w:val="Bordered &amp; Lined - Accent 5"/>
    <w:basedOn w:val="39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164">
    <w:name w:val="Bordered &amp; Lined - Accent 6"/>
    <w:basedOn w:val="39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165">
    <w:name w:val="Bordered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39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paragraph" w:styleId="173">
    <w:name w:val="footnote text"/>
    <w:basedOn w:val="390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391"/>
    <w:uiPriority w:val="99"/>
    <w:unhideWhenUsed/>
    <w:rPr>
      <w:vertAlign w:val="superscript"/>
    </w:rPr>
  </w:style>
  <w:style w:type="paragraph" w:styleId="176">
    <w:name w:val="toc 1"/>
    <w:basedOn w:val="390"/>
    <w:next w:val="390"/>
    <w:uiPriority w:val="39"/>
    <w:unhideWhenUsed/>
    <w:pPr>
      <w:ind w:left="0" w:right="0" w:firstLine="0"/>
      <w:spacing w:after="57"/>
    </w:pPr>
  </w:style>
  <w:style w:type="paragraph" w:styleId="177">
    <w:name w:val="toc 2"/>
    <w:basedOn w:val="390"/>
    <w:next w:val="390"/>
    <w:uiPriority w:val="39"/>
    <w:unhideWhenUsed/>
    <w:pPr>
      <w:ind w:left="283" w:right="0" w:firstLine="0"/>
      <w:spacing w:after="57"/>
    </w:pPr>
  </w:style>
  <w:style w:type="paragraph" w:styleId="178">
    <w:name w:val="toc 3"/>
    <w:basedOn w:val="390"/>
    <w:next w:val="390"/>
    <w:uiPriority w:val="39"/>
    <w:unhideWhenUsed/>
    <w:pPr>
      <w:ind w:left="567" w:right="0" w:firstLine="0"/>
      <w:spacing w:after="57"/>
    </w:pPr>
  </w:style>
  <w:style w:type="paragraph" w:styleId="179">
    <w:name w:val="toc 4"/>
    <w:basedOn w:val="390"/>
    <w:next w:val="390"/>
    <w:uiPriority w:val="39"/>
    <w:unhideWhenUsed/>
    <w:pPr>
      <w:ind w:left="850" w:right="0" w:firstLine="0"/>
      <w:spacing w:after="57"/>
    </w:pPr>
  </w:style>
  <w:style w:type="paragraph" w:styleId="180">
    <w:name w:val="toc 5"/>
    <w:basedOn w:val="390"/>
    <w:next w:val="390"/>
    <w:uiPriority w:val="39"/>
    <w:unhideWhenUsed/>
    <w:pPr>
      <w:ind w:left="1134" w:right="0" w:firstLine="0"/>
      <w:spacing w:after="57"/>
    </w:pPr>
  </w:style>
  <w:style w:type="paragraph" w:styleId="181">
    <w:name w:val="toc 6"/>
    <w:basedOn w:val="390"/>
    <w:next w:val="390"/>
    <w:uiPriority w:val="39"/>
    <w:unhideWhenUsed/>
    <w:pPr>
      <w:ind w:left="1417" w:right="0" w:firstLine="0"/>
      <w:spacing w:after="57"/>
    </w:pPr>
  </w:style>
  <w:style w:type="paragraph" w:styleId="182">
    <w:name w:val="toc 7"/>
    <w:basedOn w:val="390"/>
    <w:next w:val="390"/>
    <w:uiPriority w:val="39"/>
    <w:unhideWhenUsed/>
    <w:pPr>
      <w:ind w:left="1701" w:right="0" w:firstLine="0"/>
      <w:spacing w:after="57"/>
    </w:pPr>
  </w:style>
  <w:style w:type="paragraph" w:styleId="183">
    <w:name w:val="toc 8"/>
    <w:basedOn w:val="390"/>
    <w:next w:val="390"/>
    <w:uiPriority w:val="39"/>
    <w:unhideWhenUsed/>
    <w:pPr>
      <w:ind w:left="1984" w:right="0" w:firstLine="0"/>
      <w:spacing w:after="57"/>
    </w:pPr>
  </w:style>
  <w:style w:type="paragraph" w:styleId="184">
    <w:name w:val="toc 9"/>
    <w:basedOn w:val="390"/>
    <w:next w:val="390"/>
    <w:uiPriority w:val="39"/>
    <w:unhideWhenUsed/>
    <w:pPr>
      <w:ind w:left="2268" w:right="0" w:firstLine="0"/>
      <w:spacing w:after="57"/>
    </w:pPr>
  </w:style>
  <w:style w:type="paragraph" w:styleId="185">
    <w:name w:val="TOC Heading"/>
    <w:uiPriority w:val="39"/>
    <w:unhideWhenUsed/>
  </w:style>
  <w:style w:type="paragraph" w:styleId="390" w:default="1">
    <w:name w:val="Normal"/>
    <w:qFormat/>
  </w:style>
  <w:style w:type="character" w:styleId="391" w:default="1">
    <w:name w:val="Default Paragraph Font"/>
    <w:uiPriority w:val="1"/>
    <w:semiHidden/>
    <w:unhideWhenUsed/>
  </w:style>
  <w:style w:type="table" w:styleId="392" w:default="1">
    <w:name w:val="Normal Table"/>
    <w:qFormat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393" w:default="1">
    <w:name w:val="No List"/>
    <w:uiPriority w:val="99"/>
    <w:semiHidden/>
    <w:unhideWhenUsed/>
  </w:style>
  <w:style w:type="table" w:styleId="394">
    <w:name w:val="Table Grid"/>
    <w:basedOn w:val="392"/>
    <w:uiPriority w:val="3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395">
    <w:name w:val="Header"/>
    <w:basedOn w:val="390"/>
    <w:link w:val="396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396" w:customStyle="1">
    <w:name w:val="Верхний колонтитул Знак"/>
    <w:basedOn w:val="391"/>
    <w:link w:val="395"/>
    <w:uiPriority w:val="99"/>
  </w:style>
  <w:style w:type="paragraph" w:styleId="397">
    <w:name w:val="Footer"/>
    <w:basedOn w:val="390"/>
    <w:link w:val="398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398" w:customStyle="1">
    <w:name w:val="Нижний колонтитул Знак"/>
    <w:basedOn w:val="391"/>
    <w:link w:val="397"/>
    <w:uiPriority w:val="99"/>
  </w:style>
  <w:style w:type="paragraph" w:styleId="399" w:customStyle="1">
    <w:name w:val="Default"/>
    <w:rPr>
      <w:rFonts w:ascii="Times New Roman" w:hAnsi="Times New Roman" w:cs="Times New Roman" w:eastAsia="Calibri"/>
      <w:color w:val="000000"/>
      <w:sz w:val="24"/>
      <w:szCs w:val="24"/>
    </w:rPr>
    <w:pPr>
      <w:spacing w:lineRule="auto" w:line="240" w:after="0"/>
    </w:pPr>
  </w:style>
  <w:style w:type="paragraph" w:styleId="400">
    <w:name w:val="List Paragraph"/>
    <w:basedOn w:val="390"/>
    <w:qFormat/>
    <w:uiPriority w:val="34"/>
    <w:pPr>
      <w:contextualSpacing w:val="true"/>
      <w:ind w:left="72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Р7-Офис/5.5.4.20</Application>
  <Company>diakov.net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гыук</dc:creator>
  <cp:keywords/>
  <dc:description/>
  <cp:revision>10</cp:revision>
  <dcterms:created xsi:type="dcterms:W3CDTF">2020-02-25T11:27:00Z</dcterms:created>
  <dcterms:modified xsi:type="dcterms:W3CDTF">2021-02-10T08:11:29Z</dcterms:modified>
</cp:coreProperties>
</file>